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4B1F8" w14:textId="2E6F6D6F" w:rsidR="00087289" w:rsidRPr="00F02409" w:rsidRDefault="00087289" w:rsidP="00087289">
      <w:pPr>
        <w:spacing w:after="0" w:line="240" w:lineRule="auto"/>
        <w:jc w:val="both"/>
        <w:rPr>
          <w:rFonts w:ascii="Arial" w:eastAsia="Times New Roman" w:hAnsi="Arial" w:cs="Times New Roman"/>
          <w:sz w:val="24"/>
          <w:szCs w:val="24"/>
          <w:lang w:eastAsia="hr-HR"/>
        </w:rPr>
      </w:pPr>
    </w:p>
    <w:p w14:paraId="1B6C42EC" w14:textId="77777777" w:rsidR="00087289" w:rsidRPr="00F02409" w:rsidRDefault="00087289" w:rsidP="00087289">
      <w:pPr>
        <w:spacing w:after="0" w:line="240" w:lineRule="auto"/>
        <w:jc w:val="both"/>
        <w:rPr>
          <w:rFonts w:ascii="Arial" w:eastAsia="Times New Roman" w:hAnsi="Arial" w:cs="Times New Roman"/>
          <w:sz w:val="12"/>
          <w:szCs w:val="12"/>
          <w:lang w:eastAsia="hr-HR"/>
        </w:rPr>
      </w:pPr>
    </w:p>
    <w:p w14:paraId="23502AAF" w14:textId="77777777" w:rsidR="00087289" w:rsidRPr="00F02409" w:rsidRDefault="00087289" w:rsidP="00087289">
      <w:pPr>
        <w:spacing w:after="0" w:line="240" w:lineRule="auto"/>
        <w:jc w:val="both"/>
        <w:rPr>
          <w:rFonts w:ascii="Arial" w:eastAsia="Times New Roman" w:hAnsi="Arial" w:cs="Times New Roman"/>
          <w:sz w:val="23"/>
          <w:szCs w:val="24"/>
          <w:lang w:eastAsia="hr-HR"/>
        </w:rPr>
      </w:pPr>
      <w:r w:rsidRPr="00F02409">
        <w:rPr>
          <w:rFonts w:ascii="Arial" w:eastAsia="Times New Roman" w:hAnsi="Arial" w:cs="Times New Roman"/>
          <w:b/>
          <w:sz w:val="23"/>
          <w:szCs w:val="24"/>
          <w:lang w:eastAsia="hr-HR"/>
        </w:rPr>
        <w:tab/>
      </w:r>
      <w:r w:rsidRPr="00F02409">
        <w:rPr>
          <w:rFonts w:ascii="Arial" w:eastAsia="Times New Roman" w:hAnsi="Arial" w:cs="Times New Roman"/>
          <w:sz w:val="23"/>
          <w:szCs w:val="24"/>
          <w:lang w:eastAsia="hr-HR"/>
        </w:rPr>
        <w:t xml:space="preserve"> </w:t>
      </w:r>
    </w:p>
    <w:p w14:paraId="558231F9" w14:textId="77777777" w:rsidR="00087289" w:rsidRPr="00F02409" w:rsidRDefault="00087289" w:rsidP="00087289">
      <w:pPr>
        <w:spacing w:after="0" w:line="240" w:lineRule="auto"/>
        <w:jc w:val="both"/>
        <w:rPr>
          <w:rFonts w:ascii="Arial" w:eastAsia="Times New Roman" w:hAnsi="Arial" w:cs="Arial"/>
          <w:sz w:val="24"/>
          <w:szCs w:val="24"/>
          <w:lang w:eastAsia="hr-HR"/>
        </w:rPr>
      </w:pPr>
    </w:p>
    <w:p w14:paraId="7EC3F259" w14:textId="77777777" w:rsidR="00087289" w:rsidRPr="00F02409" w:rsidRDefault="00087289" w:rsidP="00087289">
      <w:pPr>
        <w:spacing w:after="0" w:line="240" w:lineRule="auto"/>
        <w:jc w:val="both"/>
        <w:rPr>
          <w:rFonts w:ascii="Arial" w:eastAsia="Times New Roman" w:hAnsi="Arial" w:cs="Arial"/>
          <w:sz w:val="24"/>
          <w:szCs w:val="24"/>
          <w:lang w:eastAsia="hr-HR"/>
        </w:rPr>
      </w:pPr>
    </w:p>
    <w:p w14:paraId="3E3538D1" w14:textId="77777777" w:rsidR="00087289" w:rsidRPr="00F02409" w:rsidRDefault="00087289" w:rsidP="00087289">
      <w:pPr>
        <w:spacing w:after="0" w:line="240" w:lineRule="auto"/>
        <w:jc w:val="both"/>
        <w:rPr>
          <w:rFonts w:ascii="Arial" w:eastAsia="Times New Roman" w:hAnsi="Arial" w:cs="Arial"/>
          <w:sz w:val="24"/>
          <w:szCs w:val="24"/>
          <w:lang w:eastAsia="hr-HR"/>
        </w:rPr>
      </w:pPr>
    </w:p>
    <w:p w14:paraId="1AD186C4" w14:textId="77777777" w:rsidR="00087289" w:rsidRPr="00F02409" w:rsidRDefault="00087289" w:rsidP="00087289">
      <w:pPr>
        <w:spacing w:after="0" w:line="240" w:lineRule="auto"/>
        <w:jc w:val="both"/>
        <w:rPr>
          <w:rFonts w:ascii="Arial" w:eastAsia="Times New Roman" w:hAnsi="Arial" w:cs="Arial"/>
          <w:sz w:val="24"/>
          <w:szCs w:val="24"/>
          <w:lang w:eastAsia="hr-HR"/>
        </w:rPr>
      </w:pPr>
    </w:p>
    <w:p w14:paraId="732BC2B3" w14:textId="77777777" w:rsidR="00087289" w:rsidRPr="00F02409" w:rsidRDefault="00087289" w:rsidP="00087289">
      <w:pPr>
        <w:spacing w:after="0" w:line="240" w:lineRule="auto"/>
        <w:rPr>
          <w:rFonts w:ascii="Arial" w:eastAsia="Times New Roman" w:hAnsi="Arial" w:cs="Arial"/>
          <w:b/>
          <w:bCs/>
          <w:sz w:val="24"/>
          <w:szCs w:val="24"/>
          <w:lang w:eastAsia="hr-HR"/>
        </w:rPr>
      </w:pPr>
    </w:p>
    <w:p w14:paraId="70D94163" w14:textId="77777777" w:rsidR="00087289" w:rsidRPr="00F02409" w:rsidRDefault="00087289" w:rsidP="00087289">
      <w:pPr>
        <w:spacing w:after="0" w:line="240" w:lineRule="auto"/>
        <w:ind w:right="72" w:firstLine="708"/>
        <w:jc w:val="both"/>
        <w:rPr>
          <w:rFonts w:ascii="Arial" w:eastAsia="Times New Roman" w:hAnsi="Arial" w:cs="Times New Roman"/>
          <w:sz w:val="16"/>
          <w:szCs w:val="16"/>
          <w:lang w:eastAsia="hr-HR"/>
        </w:rPr>
      </w:pPr>
    </w:p>
    <w:p w14:paraId="59AE769D" w14:textId="77777777" w:rsidR="00087289" w:rsidRPr="00F02409"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1509446C" w14:textId="77777777" w:rsidR="00087289" w:rsidRPr="00F02409"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1F929F7B" w14:textId="77777777" w:rsidR="00087289" w:rsidRPr="00F02409"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56FCE6A8"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3F29A4FB"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3BAB04E1"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2AE70175"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7B2FB78C"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70A17216"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7CA2BC7C"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0A25E30D"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6A8422E4"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6A3B755E"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0612909C" w14:textId="77777777" w:rsidR="00087289" w:rsidRPr="00F02409" w:rsidRDefault="00087289" w:rsidP="00087289">
      <w:pPr>
        <w:spacing w:after="0" w:line="240" w:lineRule="auto"/>
        <w:rPr>
          <w:rFonts w:ascii="Times New Roman" w:eastAsia="Times New Roman" w:hAnsi="Times New Roman" w:cs="Times New Roman"/>
          <w:sz w:val="24"/>
          <w:szCs w:val="24"/>
          <w:lang w:eastAsia="hr-HR"/>
        </w:rPr>
      </w:pPr>
    </w:p>
    <w:p w14:paraId="11427502" w14:textId="77777777" w:rsidR="00087289" w:rsidRPr="00F02409" w:rsidRDefault="00087289" w:rsidP="00087289">
      <w:pPr>
        <w:keepNext/>
        <w:spacing w:after="0" w:line="240" w:lineRule="auto"/>
        <w:jc w:val="both"/>
        <w:outlineLvl w:val="1"/>
        <w:rPr>
          <w:rFonts w:ascii="Arial" w:eastAsia="Times New Roman" w:hAnsi="Arial" w:cs="Arial"/>
          <w:b/>
          <w:bCs/>
          <w:sz w:val="24"/>
          <w:szCs w:val="24"/>
          <w:lang w:eastAsia="hr-HR"/>
        </w:rPr>
      </w:pPr>
    </w:p>
    <w:p w14:paraId="3D8F9A61" w14:textId="77777777" w:rsidR="00087289" w:rsidRPr="00F02409"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49224E1C" w14:textId="77777777" w:rsidR="00087289" w:rsidRPr="00F02409" w:rsidRDefault="00087289" w:rsidP="00087289">
      <w:pPr>
        <w:keepNext/>
        <w:spacing w:after="0" w:line="240" w:lineRule="auto"/>
        <w:ind w:left="1495"/>
        <w:jc w:val="both"/>
        <w:outlineLvl w:val="1"/>
        <w:rPr>
          <w:rFonts w:ascii="Arial" w:eastAsia="Times New Roman" w:hAnsi="Arial" w:cs="Arial"/>
          <w:b/>
          <w:bCs/>
          <w:sz w:val="24"/>
          <w:szCs w:val="24"/>
          <w:lang w:eastAsia="hr-HR"/>
        </w:rPr>
      </w:pPr>
    </w:p>
    <w:p w14:paraId="441B5DF7" w14:textId="38C19E2D" w:rsidR="00087289" w:rsidRPr="00A17B6F" w:rsidRDefault="005E302C" w:rsidP="005F1F4F">
      <w:pPr>
        <w:keepNext/>
        <w:spacing w:after="0" w:line="240" w:lineRule="auto"/>
        <w:ind w:left="284" w:hanging="284"/>
        <w:jc w:val="both"/>
        <w:outlineLvl w:val="1"/>
        <w:rPr>
          <w:rFonts w:ascii="Arial" w:eastAsia="Times New Roman" w:hAnsi="Arial" w:cs="Arial"/>
          <w:b/>
          <w:bCs/>
          <w:sz w:val="28"/>
          <w:szCs w:val="28"/>
          <w:lang w:eastAsia="hr-HR"/>
        </w:rPr>
      </w:pPr>
      <w:r w:rsidRPr="00A17B6F">
        <w:rPr>
          <w:rFonts w:ascii="Arial" w:eastAsia="Times New Roman" w:hAnsi="Arial" w:cs="Arial"/>
          <w:b/>
          <w:bCs/>
          <w:sz w:val="28"/>
          <w:szCs w:val="28"/>
          <w:lang w:eastAsia="hr-HR"/>
        </w:rPr>
        <w:t xml:space="preserve">III. </w:t>
      </w:r>
      <w:r w:rsidR="00087289" w:rsidRPr="00A17B6F">
        <w:rPr>
          <w:rFonts w:ascii="Arial" w:eastAsia="Times New Roman" w:hAnsi="Arial" w:cs="Arial"/>
          <w:b/>
          <w:bCs/>
          <w:sz w:val="28"/>
          <w:szCs w:val="28"/>
          <w:lang w:eastAsia="hr-HR"/>
        </w:rPr>
        <w:t xml:space="preserve">OBRAZLOŽENJE </w:t>
      </w:r>
      <w:r w:rsidR="009179CB" w:rsidRPr="00A17B6F">
        <w:rPr>
          <w:rFonts w:ascii="Arial" w:eastAsia="Times New Roman" w:hAnsi="Arial" w:cs="Arial"/>
          <w:b/>
          <w:bCs/>
          <w:sz w:val="28"/>
          <w:szCs w:val="28"/>
          <w:lang w:eastAsia="hr-HR"/>
        </w:rPr>
        <w:t>OPĆEG DIJELA POLUGODIŠNJEG IZVJEŠTAJA O IZVRŠENJU PRORAČUNA ZA 202</w:t>
      </w:r>
      <w:r w:rsidR="001120B0" w:rsidRPr="00A17B6F">
        <w:rPr>
          <w:rFonts w:ascii="Arial" w:eastAsia="Times New Roman" w:hAnsi="Arial" w:cs="Arial"/>
          <w:b/>
          <w:bCs/>
          <w:sz w:val="28"/>
          <w:szCs w:val="28"/>
          <w:lang w:eastAsia="hr-HR"/>
        </w:rPr>
        <w:t>4</w:t>
      </w:r>
      <w:r w:rsidR="009179CB" w:rsidRPr="00A17B6F">
        <w:rPr>
          <w:rFonts w:ascii="Arial" w:eastAsia="Times New Roman" w:hAnsi="Arial" w:cs="Arial"/>
          <w:b/>
          <w:bCs/>
          <w:sz w:val="28"/>
          <w:szCs w:val="28"/>
          <w:lang w:eastAsia="hr-HR"/>
        </w:rPr>
        <w:t xml:space="preserve">. GODINU </w:t>
      </w:r>
    </w:p>
    <w:p w14:paraId="68F0A5BE"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73136221"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49A892B6"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63111A5F"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222D8894"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47DD55FB"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157F5C49"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5204110B"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010EB981"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2CEF298F"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6E1A266B"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7C40C98C"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5C80ED07"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59121868"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263F3915"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627D924D"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06626C3E"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08DF38F4"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7698A57B"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59114C67"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07ACFAD7"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121FC168"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674B6834" w14:textId="77777777" w:rsidR="00087289" w:rsidRPr="00A17B6F" w:rsidRDefault="00087289" w:rsidP="00087289">
      <w:pPr>
        <w:spacing w:after="0" w:line="240" w:lineRule="auto"/>
        <w:rPr>
          <w:rFonts w:ascii="Times New Roman" w:eastAsia="Times New Roman" w:hAnsi="Times New Roman" w:cs="Times New Roman"/>
          <w:sz w:val="24"/>
          <w:szCs w:val="24"/>
          <w:lang w:eastAsia="hr-HR"/>
        </w:rPr>
      </w:pPr>
    </w:p>
    <w:p w14:paraId="52E98049" w14:textId="3A07BD83" w:rsidR="00087289" w:rsidRPr="00A17B6F" w:rsidRDefault="00087289" w:rsidP="00087289">
      <w:pPr>
        <w:spacing w:after="0" w:line="240" w:lineRule="auto"/>
        <w:ind w:firstLine="708"/>
        <w:jc w:val="both"/>
        <w:rPr>
          <w:rFonts w:ascii="Arial" w:eastAsia="Times New Roman" w:hAnsi="Arial" w:cs="Arial"/>
          <w:sz w:val="24"/>
          <w:szCs w:val="24"/>
          <w:lang w:eastAsia="hr-HR"/>
        </w:rPr>
      </w:pPr>
      <w:r w:rsidRPr="00A17B6F">
        <w:rPr>
          <w:rFonts w:ascii="Times New Roman" w:eastAsia="Times New Roman" w:hAnsi="Times New Roman" w:cs="Times New Roman"/>
          <w:sz w:val="24"/>
          <w:szCs w:val="24"/>
          <w:lang w:eastAsia="hr-HR"/>
        </w:rPr>
        <w:br w:type="page"/>
      </w:r>
      <w:r w:rsidRPr="00A17B6F">
        <w:rPr>
          <w:rFonts w:ascii="Arial" w:eastAsia="Times New Roman" w:hAnsi="Arial" w:cs="Arial"/>
          <w:sz w:val="24"/>
          <w:szCs w:val="24"/>
          <w:lang w:eastAsia="hr-HR"/>
        </w:rPr>
        <w:lastRenderedPageBreak/>
        <w:t>Visina planiranih sredstava za financiranje javnih rashoda i izdataka Primorsko-goranske županije u 20</w:t>
      </w:r>
      <w:r w:rsidR="005259DE" w:rsidRPr="00A17B6F">
        <w:rPr>
          <w:rFonts w:ascii="Arial" w:eastAsia="Times New Roman" w:hAnsi="Arial" w:cs="Arial"/>
          <w:sz w:val="24"/>
          <w:szCs w:val="24"/>
          <w:lang w:eastAsia="hr-HR"/>
        </w:rPr>
        <w:t>2</w:t>
      </w:r>
      <w:r w:rsidR="00DE2D9D"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godini početnim je Proračunom („Službene novine“ broj </w:t>
      </w:r>
      <w:r w:rsidR="00DE2D9D" w:rsidRPr="00A17B6F">
        <w:rPr>
          <w:rFonts w:ascii="Arial" w:eastAsia="Times New Roman" w:hAnsi="Arial" w:cs="Arial"/>
          <w:sz w:val="24"/>
          <w:szCs w:val="24"/>
          <w:lang w:eastAsia="hr-HR"/>
        </w:rPr>
        <w:t>48/23</w:t>
      </w:r>
      <w:r w:rsidRPr="00A17B6F">
        <w:rPr>
          <w:rFonts w:ascii="Arial" w:eastAsia="Times New Roman" w:hAnsi="Arial" w:cs="Arial"/>
          <w:sz w:val="24"/>
          <w:szCs w:val="24"/>
          <w:lang w:eastAsia="hr-HR"/>
        </w:rPr>
        <w:t xml:space="preserve">) utvrđena na razini od </w:t>
      </w:r>
      <w:r w:rsidR="00DE2D9D" w:rsidRPr="00A17B6F">
        <w:rPr>
          <w:rFonts w:ascii="Arial" w:eastAsia="Times New Roman" w:hAnsi="Arial" w:cs="Arial"/>
          <w:sz w:val="24"/>
          <w:szCs w:val="24"/>
          <w:lang w:eastAsia="hr-HR"/>
        </w:rPr>
        <w:t>256.046.000,00</w:t>
      </w:r>
      <w:r w:rsidR="00C219E4"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w:t>
      </w:r>
    </w:p>
    <w:p w14:paraId="78AFF028" w14:textId="14B449D2" w:rsidR="00087289" w:rsidRPr="00A17B6F" w:rsidRDefault="00087289" w:rsidP="00A61C27">
      <w:pPr>
        <w:spacing w:after="0" w:line="240" w:lineRule="auto"/>
        <w:ind w:firstLine="708"/>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U </w:t>
      </w:r>
      <w:r w:rsidR="00DE2D9D" w:rsidRPr="00A17B6F">
        <w:rPr>
          <w:rFonts w:ascii="Arial" w:eastAsia="Times New Roman" w:hAnsi="Arial" w:cs="Arial"/>
          <w:sz w:val="24"/>
          <w:szCs w:val="24"/>
          <w:lang w:eastAsia="hr-HR"/>
        </w:rPr>
        <w:t>lipnju</w:t>
      </w:r>
      <w:r w:rsidRPr="00A17B6F">
        <w:rPr>
          <w:rFonts w:ascii="Arial" w:eastAsia="Times New Roman" w:hAnsi="Arial" w:cs="Arial"/>
          <w:sz w:val="24"/>
          <w:szCs w:val="24"/>
          <w:lang w:eastAsia="hr-HR"/>
        </w:rPr>
        <w:t xml:space="preserve"> 20</w:t>
      </w:r>
      <w:r w:rsidR="005259DE" w:rsidRPr="00A17B6F">
        <w:rPr>
          <w:rFonts w:ascii="Arial" w:eastAsia="Times New Roman" w:hAnsi="Arial" w:cs="Arial"/>
          <w:sz w:val="24"/>
          <w:szCs w:val="24"/>
          <w:lang w:eastAsia="hr-HR"/>
        </w:rPr>
        <w:t>2</w:t>
      </w:r>
      <w:r w:rsidR="00DE2D9D"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godine Žup</w:t>
      </w:r>
      <w:r w:rsidR="00A61C27" w:rsidRPr="00A17B6F">
        <w:rPr>
          <w:rFonts w:ascii="Arial" w:eastAsia="Times New Roman" w:hAnsi="Arial" w:cs="Arial"/>
          <w:sz w:val="24"/>
          <w:szCs w:val="24"/>
          <w:lang w:eastAsia="hr-HR"/>
        </w:rPr>
        <w:t xml:space="preserve">anijska skupština je usvojila </w:t>
      </w:r>
      <w:r w:rsidRPr="00A17B6F">
        <w:rPr>
          <w:rFonts w:ascii="Arial" w:eastAsia="Times New Roman" w:hAnsi="Arial" w:cs="Arial"/>
          <w:sz w:val="24"/>
          <w:szCs w:val="24"/>
          <w:lang w:eastAsia="hr-HR"/>
        </w:rPr>
        <w:t>Izmjene i dopune Proračuna za 20</w:t>
      </w:r>
      <w:r w:rsidR="005259DE" w:rsidRPr="00A17B6F">
        <w:rPr>
          <w:rFonts w:ascii="Arial" w:eastAsia="Times New Roman" w:hAnsi="Arial" w:cs="Arial"/>
          <w:sz w:val="24"/>
          <w:szCs w:val="24"/>
          <w:lang w:eastAsia="hr-HR"/>
        </w:rPr>
        <w:t>2</w:t>
      </w:r>
      <w:r w:rsidR="00DE2D9D"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godinu i projekcija za 20</w:t>
      </w:r>
      <w:r w:rsidR="002451A3" w:rsidRPr="00A17B6F">
        <w:rPr>
          <w:rFonts w:ascii="Arial" w:eastAsia="Times New Roman" w:hAnsi="Arial" w:cs="Arial"/>
          <w:sz w:val="24"/>
          <w:szCs w:val="24"/>
          <w:lang w:eastAsia="hr-HR"/>
        </w:rPr>
        <w:t>2</w:t>
      </w:r>
      <w:r w:rsidR="00DE2D9D" w:rsidRPr="00A17B6F">
        <w:rPr>
          <w:rFonts w:ascii="Arial" w:eastAsia="Times New Roman" w:hAnsi="Arial" w:cs="Arial"/>
          <w:sz w:val="24"/>
          <w:szCs w:val="24"/>
          <w:lang w:eastAsia="hr-HR"/>
        </w:rPr>
        <w:t>5</w:t>
      </w:r>
      <w:r w:rsidRPr="00A17B6F">
        <w:rPr>
          <w:rFonts w:ascii="Arial" w:eastAsia="Times New Roman" w:hAnsi="Arial" w:cs="Arial"/>
          <w:sz w:val="24"/>
          <w:szCs w:val="24"/>
          <w:lang w:eastAsia="hr-HR"/>
        </w:rPr>
        <w:t>. i 202</w:t>
      </w:r>
      <w:r w:rsidR="00DE2D9D" w:rsidRPr="00A17B6F">
        <w:rPr>
          <w:rFonts w:ascii="Arial" w:eastAsia="Times New Roman" w:hAnsi="Arial" w:cs="Arial"/>
          <w:sz w:val="24"/>
          <w:szCs w:val="24"/>
          <w:lang w:eastAsia="hr-HR"/>
        </w:rPr>
        <w:t>6</w:t>
      </w:r>
      <w:r w:rsidRPr="00A17B6F">
        <w:rPr>
          <w:rFonts w:ascii="Arial" w:eastAsia="Times New Roman" w:hAnsi="Arial" w:cs="Arial"/>
          <w:sz w:val="24"/>
          <w:szCs w:val="24"/>
          <w:lang w:eastAsia="hr-HR"/>
        </w:rPr>
        <w:t xml:space="preserve">. godinu ("Službene novine", broj </w:t>
      </w:r>
      <w:r w:rsidR="00DE2D9D" w:rsidRPr="00A17B6F">
        <w:rPr>
          <w:rFonts w:ascii="Arial" w:eastAsia="Times New Roman" w:hAnsi="Arial" w:cs="Arial"/>
          <w:sz w:val="24"/>
          <w:szCs w:val="24"/>
          <w:lang w:eastAsia="hr-HR"/>
        </w:rPr>
        <w:t>26/24</w:t>
      </w:r>
      <w:r w:rsidR="00B40364" w:rsidRPr="00A17B6F">
        <w:rPr>
          <w:rFonts w:ascii="Arial" w:eastAsia="Times New Roman" w:hAnsi="Arial" w:cs="Arial"/>
          <w:sz w:val="24"/>
          <w:szCs w:val="24"/>
          <w:lang w:eastAsia="hr-HR"/>
        </w:rPr>
        <w:t>) kojima se</w:t>
      </w:r>
      <w:r w:rsidRPr="00A17B6F">
        <w:rPr>
          <w:rFonts w:ascii="Arial" w:eastAsia="Times New Roman" w:hAnsi="Arial" w:cs="Arial"/>
          <w:sz w:val="24"/>
          <w:szCs w:val="24"/>
          <w:lang w:eastAsia="hr-HR"/>
        </w:rPr>
        <w:t xml:space="preserve"> visina Proračuna </w:t>
      </w:r>
      <w:r w:rsidR="00A61C27" w:rsidRPr="00A17B6F">
        <w:rPr>
          <w:rFonts w:ascii="Arial" w:eastAsia="Times New Roman" w:hAnsi="Arial" w:cs="Arial"/>
          <w:sz w:val="24"/>
          <w:szCs w:val="24"/>
          <w:lang w:eastAsia="hr-HR"/>
        </w:rPr>
        <w:t xml:space="preserve">povećala na iznos od </w:t>
      </w:r>
      <w:r w:rsidR="00DE2D9D" w:rsidRPr="00A17B6F">
        <w:rPr>
          <w:rFonts w:ascii="Arial" w:eastAsia="Times New Roman" w:hAnsi="Arial" w:cs="Arial"/>
          <w:sz w:val="24"/>
          <w:szCs w:val="24"/>
          <w:lang w:eastAsia="hr-HR"/>
        </w:rPr>
        <w:t>294.990.000,00</w:t>
      </w:r>
      <w:r w:rsidR="00C219E4"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w:t>
      </w:r>
    </w:p>
    <w:p w14:paraId="6816DB05" w14:textId="77777777" w:rsidR="00A61C27" w:rsidRPr="00A17B6F" w:rsidRDefault="00A61C27" w:rsidP="00A61C27">
      <w:pPr>
        <w:spacing w:after="0" w:line="240" w:lineRule="auto"/>
        <w:ind w:firstLine="708"/>
        <w:jc w:val="both"/>
        <w:rPr>
          <w:rFonts w:ascii="Arial" w:eastAsia="Times New Roman" w:hAnsi="Arial" w:cs="Arial"/>
          <w:b/>
          <w:sz w:val="16"/>
          <w:szCs w:val="16"/>
          <w:lang w:eastAsia="hr-HR"/>
        </w:rPr>
      </w:pPr>
    </w:p>
    <w:p w14:paraId="551D1E8F" w14:textId="592A3821" w:rsidR="002451A3" w:rsidRPr="00A17B6F" w:rsidRDefault="002451A3" w:rsidP="00087289">
      <w:pPr>
        <w:spacing w:after="0" w:line="240" w:lineRule="auto"/>
        <w:jc w:val="both"/>
        <w:rPr>
          <w:rFonts w:ascii="Arial" w:eastAsia="Times New Roman" w:hAnsi="Arial" w:cs="Arial"/>
          <w:sz w:val="12"/>
          <w:szCs w:val="12"/>
          <w:lang w:eastAsia="hr-HR"/>
        </w:rPr>
      </w:pPr>
    </w:p>
    <w:p w14:paraId="1CFABC86" w14:textId="031C19A6" w:rsidR="00BC07C3" w:rsidRPr="00A17B6F" w:rsidRDefault="00087289" w:rsidP="00BC07C3">
      <w:pPr>
        <w:tabs>
          <w:tab w:val="right" w:pos="9072"/>
        </w:tabs>
        <w:spacing w:after="0" w:line="240" w:lineRule="auto"/>
        <w:ind w:firstLine="709"/>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ab/>
        <w:t xml:space="preserve">U općem </w:t>
      </w:r>
      <w:r w:rsidR="00C219E4" w:rsidRPr="00A17B6F">
        <w:rPr>
          <w:rFonts w:ascii="Arial" w:eastAsia="Times New Roman" w:hAnsi="Arial" w:cs="Arial"/>
          <w:sz w:val="24"/>
          <w:szCs w:val="24"/>
          <w:lang w:eastAsia="hr-HR"/>
        </w:rPr>
        <w:t xml:space="preserve">dijelu </w:t>
      </w:r>
      <w:r w:rsidR="00573DEE" w:rsidRPr="00A17B6F">
        <w:rPr>
          <w:rFonts w:ascii="Arial" w:eastAsia="Times New Roman" w:hAnsi="Arial" w:cs="Arial"/>
          <w:sz w:val="24"/>
          <w:szCs w:val="24"/>
          <w:lang w:eastAsia="hr-HR"/>
        </w:rPr>
        <w:t>Polugodišnjeg izvještaja o izvršenju Proračuna Primorsko-goranske županije za 202</w:t>
      </w:r>
      <w:r w:rsidR="00E5693B" w:rsidRPr="00A17B6F">
        <w:rPr>
          <w:rFonts w:ascii="Arial" w:eastAsia="Times New Roman" w:hAnsi="Arial" w:cs="Arial"/>
          <w:sz w:val="24"/>
          <w:szCs w:val="24"/>
          <w:lang w:eastAsia="hr-HR"/>
        </w:rPr>
        <w:t>4</w:t>
      </w:r>
      <w:r w:rsidR="00573DEE" w:rsidRPr="00A17B6F">
        <w:rPr>
          <w:rFonts w:ascii="Arial" w:eastAsia="Times New Roman" w:hAnsi="Arial" w:cs="Arial"/>
          <w:sz w:val="24"/>
          <w:szCs w:val="24"/>
          <w:lang w:eastAsia="hr-HR"/>
        </w:rPr>
        <w:t>. godinu</w:t>
      </w:r>
      <w:r w:rsidRPr="00A17B6F">
        <w:rPr>
          <w:rFonts w:ascii="Arial" w:eastAsia="Times New Roman" w:hAnsi="Arial" w:cs="Arial"/>
          <w:sz w:val="24"/>
          <w:szCs w:val="24"/>
          <w:lang w:eastAsia="hr-HR"/>
        </w:rPr>
        <w:t xml:space="preserve"> prezentirani su podaci o planiranim prihodima/primicima i rashodima/izdacima </w:t>
      </w:r>
      <w:r w:rsidR="00C219E4" w:rsidRPr="00A17B6F">
        <w:rPr>
          <w:rFonts w:ascii="Arial" w:eastAsia="Times New Roman" w:hAnsi="Arial" w:cs="Arial"/>
          <w:sz w:val="24"/>
          <w:szCs w:val="24"/>
          <w:lang w:eastAsia="hr-HR"/>
        </w:rPr>
        <w:t>u spomenutim Izmjenama i dopunama Proračuna za 202</w:t>
      </w:r>
      <w:r w:rsidR="00E5693B" w:rsidRPr="00A17B6F">
        <w:rPr>
          <w:rFonts w:ascii="Arial" w:eastAsia="Times New Roman" w:hAnsi="Arial" w:cs="Arial"/>
          <w:sz w:val="24"/>
          <w:szCs w:val="24"/>
          <w:lang w:eastAsia="hr-HR"/>
        </w:rPr>
        <w:t>4</w:t>
      </w:r>
      <w:r w:rsidR="00C219E4" w:rsidRPr="00A17B6F">
        <w:rPr>
          <w:rFonts w:ascii="Arial" w:eastAsia="Times New Roman" w:hAnsi="Arial" w:cs="Arial"/>
          <w:sz w:val="24"/>
          <w:szCs w:val="24"/>
          <w:lang w:eastAsia="hr-HR"/>
        </w:rPr>
        <w:t xml:space="preserve">. godinu (stupac </w:t>
      </w:r>
      <w:r w:rsidR="00876CBA" w:rsidRPr="00A17B6F">
        <w:rPr>
          <w:rFonts w:ascii="Arial" w:eastAsia="Times New Roman" w:hAnsi="Arial" w:cs="Arial"/>
          <w:sz w:val="24"/>
          <w:szCs w:val="24"/>
          <w:lang w:eastAsia="hr-HR"/>
        </w:rPr>
        <w:t>„</w:t>
      </w:r>
      <w:r w:rsidR="00C219E4" w:rsidRPr="00A17B6F">
        <w:rPr>
          <w:rFonts w:ascii="Arial" w:eastAsia="Times New Roman" w:hAnsi="Arial" w:cs="Arial"/>
          <w:sz w:val="24"/>
          <w:szCs w:val="24"/>
          <w:lang w:eastAsia="hr-HR"/>
        </w:rPr>
        <w:t>Rebalans</w:t>
      </w:r>
      <w:r w:rsidR="00876CBA" w:rsidRPr="00A17B6F">
        <w:rPr>
          <w:rFonts w:ascii="Arial" w:eastAsia="Times New Roman" w:hAnsi="Arial" w:cs="Arial"/>
          <w:sz w:val="24"/>
          <w:szCs w:val="24"/>
          <w:lang w:eastAsia="hr-HR"/>
        </w:rPr>
        <w:t xml:space="preserve"> 202</w:t>
      </w:r>
      <w:r w:rsidR="00E5693B" w:rsidRPr="00A17B6F">
        <w:rPr>
          <w:rFonts w:ascii="Arial" w:eastAsia="Times New Roman" w:hAnsi="Arial" w:cs="Arial"/>
          <w:sz w:val="24"/>
          <w:szCs w:val="24"/>
          <w:lang w:eastAsia="hr-HR"/>
        </w:rPr>
        <w:t>4</w:t>
      </w:r>
      <w:r w:rsidR="00876CBA" w:rsidRPr="00A17B6F">
        <w:rPr>
          <w:rFonts w:ascii="Arial" w:eastAsia="Times New Roman" w:hAnsi="Arial" w:cs="Arial"/>
          <w:sz w:val="24"/>
          <w:szCs w:val="24"/>
          <w:lang w:eastAsia="hr-HR"/>
        </w:rPr>
        <w:t>.“</w:t>
      </w:r>
      <w:r w:rsidR="00C219E4" w:rsidRPr="00A17B6F">
        <w:rPr>
          <w:rFonts w:ascii="Arial" w:eastAsia="Times New Roman" w:hAnsi="Arial" w:cs="Arial"/>
          <w:sz w:val="24"/>
          <w:szCs w:val="24"/>
          <w:lang w:eastAsia="hr-HR"/>
        </w:rPr>
        <w:t>)</w:t>
      </w:r>
      <w:r w:rsidR="0058314D" w:rsidRPr="00A17B6F">
        <w:rPr>
          <w:rFonts w:ascii="Arial" w:eastAsia="Times New Roman" w:hAnsi="Arial" w:cs="Arial"/>
          <w:sz w:val="24"/>
          <w:szCs w:val="24"/>
          <w:lang w:eastAsia="hr-HR"/>
        </w:rPr>
        <w:t>,</w:t>
      </w:r>
      <w:r w:rsidR="00BC07C3" w:rsidRPr="00A17B6F">
        <w:rPr>
          <w:rFonts w:ascii="Arial" w:eastAsia="Times New Roman" w:hAnsi="Arial" w:cs="Arial"/>
          <w:sz w:val="24"/>
          <w:szCs w:val="24"/>
          <w:lang w:eastAsia="hr-HR"/>
        </w:rPr>
        <w:t xml:space="preserve"> njihovom izvršenju u prvih šest mjeseci tekuće godine</w:t>
      </w:r>
      <w:r w:rsidR="0058314D" w:rsidRPr="00A17B6F">
        <w:rPr>
          <w:rFonts w:ascii="Arial" w:eastAsia="Times New Roman" w:hAnsi="Arial" w:cs="Arial"/>
          <w:sz w:val="24"/>
          <w:szCs w:val="24"/>
          <w:lang w:eastAsia="hr-HR"/>
        </w:rPr>
        <w:t xml:space="preserve"> kao i izvršenju za izvještajno razdoblje prethodne godine</w:t>
      </w:r>
      <w:r w:rsidR="00876CBA" w:rsidRPr="00A17B6F">
        <w:rPr>
          <w:rFonts w:ascii="Arial" w:eastAsia="Times New Roman" w:hAnsi="Arial" w:cs="Arial"/>
          <w:sz w:val="24"/>
          <w:szCs w:val="24"/>
          <w:lang w:eastAsia="hr-HR"/>
        </w:rPr>
        <w:t>. Budući su u razdoblju nakon donošenja Izmjena i dopuna Proračuna za 202</w:t>
      </w:r>
      <w:r w:rsidR="00E5693B" w:rsidRPr="00A17B6F">
        <w:rPr>
          <w:rFonts w:ascii="Arial" w:eastAsia="Times New Roman" w:hAnsi="Arial" w:cs="Arial"/>
          <w:sz w:val="24"/>
          <w:szCs w:val="24"/>
          <w:lang w:eastAsia="hr-HR"/>
        </w:rPr>
        <w:t>4</w:t>
      </w:r>
      <w:r w:rsidR="00876CBA" w:rsidRPr="00A17B6F">
        <w:rPr>
          <w:rFonts w:ascii="Arial" w:eastAsia="Times New Roman" w:hAnsi="Arial" w:cs="Arial"/>
          <w:sz w:val="24"/>
          <w:szCs w:val="24"/>
          <w:lang w:eastAsia="hr-HR"/>
        </w:rPr>
        <w:t>. godinu pa do 30. lipnja tekuće godine izvršene određene preraspodjele</w:t>
      </w:r>
      <w:r w:rsidR="00957F12" w:rsidRPr="00A17B6F">
        <w:rPr>
          <w:rFonts w:ascii="Arial" w:eastAsia="Times New Roman" w:hAnsi="Arial" w:cs="Arial"/>
          <w:sz w:val="24"/>
          <w:szCs w:val="24"/>
          <w:lang w:eastAsia="hr-HR"/>
        </w:rPr>
        <w:t xml:space="preserve"> između stavki rashoda</w:t>
      </w:r>
      <w:r w:rsidR="00876CBA" w:rsidRPr="00A17B6F">
        <w:rPr>
          <w:rFonts w:ascii="Arial" w:eastAsia="Times New Roman" w:hAnsi="Arial" w:cs="Arial"/>
          <w:sz w:val="24"/>
          <w:szCs w:val="24"/>
          <w:lang w:eastAsia="hr-HR"/>
        </w:rPr>
        <w:t>, opći dio polugodišnjeg izvještaja sadrži</w:t>
      </w:r>
      <w:r w:rsidR="00BC07C3" w:rsidRPr="00A17B6F">
        <w:rPr>
          <w:rFonts w:ascii="Arial" w:eastAsia="Times New Roman" w:hAnsi="Arial" w:cs="Arial"/>
          <w:sz w:val="24"/>
          <w:szCs w:val="24"/>
          <w:lang w:eastAsia="hr-HR"/>
        </w:rPr>
        <w:t xml:space="preserve"> i</w:t>
      </w:r>
      <w:r w:rsidR="00876CBA" w:rsidRPr="00A17B6F">
        <w:rPr>
          <w:rFonts w:ascii="Arial" w:eastAsia="Times New Roman" w:hAnsi="Arial" w:cs="Arial"/>
          <w:sz w:val="24"/>
          <w:szCs w:val="24"/>
          <w:lang w:eastAsia="hr-HR"/>
        </w:rPr>
        <w:t xml:space="preserve"> stupac „Tekući plan 202</w:t>
      </w:r>
      <w:r w:rsidR="00E5693B" w:rsidRPr="00A17B6F">
        <w:rPr>
          <w:rFonts w:ascii="Arial" w:eastAsia="Times New Roman" w:hAnsi="Arial" w:cs="Arial"/>
          <w:sz w:val="24"/>
          <w:szCs w:val="24"/>
          <w:lang w:eastAsia="hr-HR"/>
        </w:rPr>
        <w:t>4</w:t>
      </w:r>
      <w:r w:rsidR="00876CBA" w:rsidRPr="00A17B6F">
        <w:rPr>
          <w:rFonts w:ascii="Arial" w:eastAsia="Times New Roman" w:hAnsi="Arial" w:cs="Arial"/>
          <w:sz w:val="24"/>
          <w:szCs w:val="24"/>
          <w:lang w:eastAsia="hr-HR"/>
        </w:rPr>
        <w:t>.“ koji je uzeo u obzir navedene preraspodjele.</w:t>
      </w:r>
      <w:r w:rsidR="00BC07C3" w:rsidRPr="00A17B6F">
        <w:rPr>
          <w:rFonts w:ascii="Arial" w:eastAsia="Times New Roman" w:hAnsi="Arial" w:cs="Arial"/>
          <w:sz w:val="24"/>
          <w:szCs w:val="24"/>
          <w:lang w:eastAsia="hr-HR"/>
        </w:rPr>
        <w:t xml:space="preserve"> Naime, temeljem članka 60. Zakona te članka 26. Odluke o izvršavanju Proračuna za 202</w:t>
      </w:r>
      <w:r w:rsidR="00E5693B" w:rsidRPr="00A17B6F">
        <w:rPr>
          <w:rFonts w:ascii="Arial" w:eastAsia="Times New Roman" w:hAnsi="Arial" w:cs="Arial"/>
          <w:sz w:val="24"/>
          <w:szCs w:val="24"/>
          <w:lang w:eastAsia="hr-HR"/>
        </w:rPr>
        <w:t>4</w:t>
      </w:r>
      <w:r w:rsidR="00BC07C3" w:rsidRPr="00A17B6F">
        <w:rPr>
          <w:rFonts w:ascii="Arial" w:eastAsia="Times New Roman" w:hAnsi="Arial" w:cs="Arial"/>
          <w:sz w:val="24"/>
          <w:szCs w:val="24"/>
          <w:lang w:eastAsia="hr-HR"/>
        </w:rPr>
        <w:t>. godinu Županu je dana mogućnost odobravanja preraspodjela planiranih rashoda i izdataka  između pojedinih stavaka Proračuna i to unutar izvora financiranja opći prihodi i primici i unutar izvora financiranja namjenski primici i to najviše do 5,0% stavke koja se umanjuje. Nakon donošenja Izmjena i dopuna Proračuna Primorsko–goranske županije za 202</w:t>
      </w:r>
      <w:r w:rsidR="00E5693B" w:rsidRPr="00A17B6F">
        <w:rPr>
          <w:rFonts w:ascii="Arial" w:eastAsia="Times New Roman" w:hAnsi="Arial" w:cs="Arial"/>
          <w:sz w:val="24"/>
          <w:szCs w:val="24"/>
          <w:lang w:eastAsia="hr-HR"/>
        </w:rPr>
        <w:t>4</w:t>
      </w:r>
      <w:r w:rsidR="00BC07C3" w:rsidRPr="00A17B6F">
        <w:rPr>
          <w:rFonts w:ascii="Arial" w:eastAsia="Times New Roman" w:hAnsi="Arial" w:cs="Arial"/>
          <w:sz w:val="24"/>
          <w:szCs w:val="24"/>
          <w:lang w:eastAsia="hr-HR"/>
        </w:rPr>
        <w:t xml:space="preserve">. godinu, na zahtjev pročelnika upravnih tijela, odobrene su preraspodjele sredstava u ukupnom iznosu od </w:t>
      </w:r>
      <w:r w:rsidR="00E5693B" w:rsidRPr="00A17B6F">
        <w:rPr>
          <w:rFonts w:ascii="Arial" w:eastAsia="Times New Roman" w:hAnsi="Arial" w:cs="Times New Roman"/>
          <w:sz w:val="24"/>
          <w:szCs w:val="24"/>
          <w:lang w:eastAsia="hr-HR"/>
        </w:rPr>
        <w:t>20,00</w:t>
      </w:r>
      <w:r w:rsidR="005D2CCE" w:rsidRPr="00A17B6F">
        <w:rPr>
          <w:rFonts w:ascii="Arial" w:eastAsia="Times New Roman" w:hAnsi="Arial" w:cs="Times New Roman"/>
          <w:sz w:val="24"/>
          <w:szCs w:val="24"/>
          <w:lang w:eastAsia="hr-HR"/>
        </w:rPr>
        <w:t xml:space="preserve"> eura</w:t>
      </w:r>
      <w:r w:rsidR="00BC07C3" w:rsidRPr="00A17B6F">
        <w:rPr>
          <w:rFonts w:ascii="Arial" w:eastAsia="Times New Roman" w:hAnsi="Arial" w:cs="Arial"/>
          <w:sz w:val="24"/>
          <w:szCs w:val="24"/>
          <w:lang w:eastAsia="hr-HR"/>
        </w:rPr>
        <w:t xml:space="preserve">. Treba napomenuti da navedene preraspodjele </w:t>
      </w:r>
      <w:r w:rsidR="00E5693B" w:rsidRPr="00A17B6F">
        <w:rPr>
          <w:rFonts w:ascii="Arial" w:eastAsia="Times New Roman" w:hAnsi="Arial" w:cs="Arial"/>
          <w:sz w:val="24"/>
          <w:szCs w:val="24"/>
          <w:lang w:eastAsia="hr-HR"/>
        </w:rPr>
        <w:t>ne mogu</w:t>
      </w:r>
      <w:r w:rsidR="00BC07C3" w:rsidRPr="00A17B6F">
        <w:rPr>
          <w:rFonts w:ascii="Arial" w:eastAsia="Times New Roman" w:hAnsi="Arial" w:cs="Arial"/>
          <w:sz w:val="24"/>
          <w:szCs w:val="24"/>
          <w:lang w:eastAsia="hr-HR"/>
        </w:rPr>
        <w:t xml:space="preserve"> </w:t>
      </w:r>
      <w:r w:rsidR="00E5693B" w:rsidRPr="00A17B6F">
        <w:rPr>
          <w:rFonts w:ascii="Arial" w:eastAsia="Times New Roman" w:hAnsi="Arial" w:cs="Arial"/>
          <w:sz w:val="24"/>
          <w:szCs w:val="24"/>
          <w:lang w:eastAsia="hr-HR"/>
        </w:rPr>
        <w:t>promijeniti</w:t>
      </w:r>
      <w:r w:rsidR="00BC07C3" w:rsidRPr="00A17B6F">
        <w:rPr>
          <w:rFonts w:ascii="Arial" w:eastAsia="Times New Roman" w:hAnsi="Arial" w:cs="Arial"/>
          <w:sz w:val="24"/>
          <w:szCs w:val="24"/>
          <w:lang w:eastAsia="hr-HR"/>
        </w:rPr>
        <w:t xml:space="preserve"> </w:t>
      </w:r>
      <w:r w:rsidR="00E5693B" w:rsidRPr="00A17B6F">
        <w:rPr>
          <w:rFonts w:ascii="Arial" w:eastAsia="Times New Roman" w:hAnsi="Arial" w:cs="Arial"/>
          <w:sz w:val="24"/>
          <w:szCs w:val="24"/>
          <w:lang w:eastAsia="hr-HR"/>
        </w:rPr>
        <w:t>visinu</w:t>
      </w:r>
      <w:r w:rsidR="00BC07C3" w:rsidRPr="00A17B6F">
        <w:rPr>
          <w:rFonts w:ascii="Arial" w:eastAsia="Times New Roman" w:hAnsi="Arial" w:cs="Arial"/>
          <w:sz w:val="24"/>
          <w:szCs w:val="24"/>
          <w:lang w:eastAsia="hr-HR"/>
        </w:rPr>
        <w:t xml:space="preserve"> Proračuna za 202</w:t>
      </w:r>
      <w:r w:rsidR="00E5693B" w:rsidRPr="00A17B6F">
        <w:rPr>
          <w:rFonts w:ascii="Arial" w:eastAsia="Times New Roman" w:hAnsi="Arial" w:cs="Arial"/>
          <w:sz w:val="24"/>
          <w:szCs w:val="24"/>
          <w:lang w:eastAsia="hr-HR"/>
        </w:rPr>
        <w:t>4</w:t>
      </w:r>
      <w:r w:rsidR="00BC07C3" w:rsidRPr="00A17B6F">
        <w:rPr>
          <w:rFonts w:ascii="Arial" w:eastAsia="Times New Roman" w:hAnsi="Arial" w:cs="Arial"/>
          <w:sz w:val="24"/>
          <w:szCs w:val="24"/>
          <w:lang w:eastAsia="hr-HR"/>
        </w:rPr>
        <w:t>. godinu koji je donijela Skupština, već samo strukt</w:t>
      </w:r>
      <w:r w:rsidR="00F9738D" w:rsidRPr="00A17B6F">
        <w:rPr>
          <w:rFonts w:ascii="Arial" w:eastAsia="Times New Roman" w:hAnsi="Arial" w:cs="Arial"/>
          <w:sz w:val="24"/>
          <w:szCs w:val="24"/>
          <w:lang w:eastAsia="hr-HR"/>
        </w:rPr>
        <w:t>uru planiranih rashoda/izdataka koja je, zajedno sa strukturom raspoloživih sredstava, dana u Tablici 1.</w:t>
      </w:r>
      <w:r w:rsidR="00BC07C3" w:rsidRPr="00A17B6F">
        <w:rPr>
          <w:rFonts w:ascii="Arial" w:eastAsia="Times New Roman" w:hAnsi="Arial" w:cs="Arial"/>
          <w:sz w:val="24"/>
          <w:szCs w:val="24"/>
          <w:lang w:eastAsia="hr-HR"/>
        </w:rPr>
        <w:t xml:space="preserve"> </w:t>
      </w:r>
    </w:p>
    <w:p w14:paraId="71A236A8" w14:textId="77777777" w:rsidR="00876CBA" w:rsidRPr="00A17B6F" w:rsidRDefault="00876CBA" w:rsidP="00087289">
      <w:pPr>
        <w:tabs>
          <w:tab w:val="right" w:pos="9072"/>
        </w:tabs>
        <w:spacing w:after="0" w:line="240" w:lineRule="auto"/>
        <w:ind w:firstLine="709"/>
        <w:jc w:val="both"/>
        <w:rPr>
          <w:rFonts w:ascii="Arial" w:eastAsia="Times New Roman" w:hAnsi="Arial" w:cs="Arial"/>
          <w:sz w:val="24"/>
          <w:szCs w:val="24"/>
          <w:lang w:eastAsia="hr-HR"/>
        </w:rPr>
      </w:pPr>
    </w:p>
    <w:p w14:paraId="7DA6DFB2" w14:textId="3E48806A" w:rsidR="009B4DFA" w:rsidRPr="00A17B6F" w:rsidRDefault="00087289" w:rsidP="00087289">
      <w:pPr>
        <w:spacing w:after="0" w:line="240" w:lineRule="auto"/>
        <w:jc w:val="both"/>
        <w:rPr>
          <w:rFonts w:ascii="Arial" w:eastAsia="Times New Roman" w:hAnsi="Arial" w:cs="Arial"/>
          <w:sz w:val="24"/>
          <w:szCs w:val="24"/>
          <w:lang w:eastAsia="hr-HR"/>
        </w:rPr>
      </w:pPr>
      <w:r w:rsidRPr="00A17B6F">
        <w:rPr>
          <w:rFonts w:ascii="Arial" w:eastAsia="Times New Roman" w:hAnsi="Arial" w:cs="Arial"/>
          <w:b/>
          <w:sz w:val="24"/>
          <w:szCs w:val="24"/>
          <w:lang w:eastAsia="hr-HR"/>
        </w:rPr>
        <w:t>Tablica 1.:</w:t>
      </w:r>
      <w:r w:rsidRPr="00A17B6F">
        <w:rPr>
          <w:rFonts w:ascii="Arial" w:eastAsia="Times New Roman" w:hAnsi="Arial" w:cs="Arial"/>
          <w:sz w:val="24"/>
          <w:szCs w:val="24"/>
          <w:lang w:eastAsia="hr-HR"/>
        </w:rPr>
        <w:tab/>
      </w:r>
      <w:r w:rsidR="004610E0" w:rsidRPr="00A17B6F">
        <w:rPr>
          <w:rFonts w:ascii="Arial" w:eastAsia="Times New Roman" w:hAnsi="Arial" w:cs="Arial"/>
          <w:sz w:val="24"/>
          <w:szCs w:val="24"/>
          <w:lang w:eastAsia="hr-HR"/>
        </w:rPr>
        <w:t>Struktura izvršenja Proračuna PGŽ za prvo polugodište 202</w:t>
      </w:r>
      <w:r w:rsidR="00D10805" w:rsidRPr="00A17B6F">
        <w:rPr>
          <w:rFonts w:ascii="Arial" w:eastAsia="Times New Roman" w:hAnsi="Arial" w:cs="Arial"/>
          <w:sz w:val="24"/>
          <w:szCs w:val="24"/>
          <w:lang w:eastAsia="hr-HR"/>
        </w:rPr>
        <w:t>4</w:t>
      </w:r>
      <w:r w:rsidR="004610E0" w:rsidRPr="00A17B6F">
        <w:rPr>
          <w:rFonts w:ascii="Arial" w:eastAsia="Times New Roman" w:hAnsi="Arial" w:cs="Arial"/>
          <w:sz w:val="24"/>
          <w:szCs w:val="24"/>
          <w:lang w:eastAsia="hr-HR"/>
        </w:rPr>
        <w:t>. godine</w:t>
      </w:r>
    </w:p>
    <w:p w14:paraId="6784BF52" w14:textId="77777777" w:rsidR="00B64CB5" w:rsidRPr="00A17B6F" w:rsidRDefault="00B64CB5" w:rsidP="00087289">
      <w:pPr>
        <w:spacing w:after="0" w:line="240" w:lineRule="auto"/>
        <w:jc w:val="both"/>
        <w:rPr>
          <w:rFonts w:ascii="Arial" w:eastAsia="Times New Roman" w:hAnsi="Arial" w:cs="Arial"/>
          <w:sz w:val="12"/>
          <w:szCs w:val="12"/>
          <w:lang w:eastAsia="hr-HR"/>
        </w:rPr>
      </w:pPr>
    </w:p>
    <w:p w14:paraId="4C78902F" w14:textId="738E10F1" w:rsidR="00087289" w:rsidRPr="00A17B6F" w:rsidRDefault="00087289" w:rsidP="00087289">
      <w:pPr>
        <w:spacing w:after="0" w:line="240" w:lineRule="auto"/>
        <w:jc w:val="both"/>
        <w:rPr>
          <w:rFonts w:ascii="Arial" w:eastAsia="Times New Roman" w:hAnsi="Arial" w:cs="Arial"/>
          <w:sz w:val="20"/>
          <w:szCs w:val="20"/>
          <w:lang w:eastAsia="hr-HR"/>
        </w:rPr>
      </w:pPr>
      <w:r w:rsidRPr="00A17B6F">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00BC1CA7">
        <w:rPr>
          <w:rFonts w:ascii="Arial" w:eastAsia="Times New Roman" w:hAnsi="Arial" w:cs="Arial"/>
          <w:sz w:val="24"/>
          <w:szCs w:val="24"/>
          <w:lang w:eastAsia="hr-HR"/>
        </w:rPr>
        <w:tab/>
      </w:r>
      <w:r w:rsidR="00BC1CA7">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Pr="00A17B6F">
        <w:rPr>
          <w:rFonts w:ascii="Arial" w:eastAsia="Times New Roman" w:hAnsi="Arial" w:cs="Arial"/>
          <w:sz w:val="24"/>
          <w:szCs w:val="24"/>
          <w:lang w:eastAsia="hr-HR"/>
        </w:rPr>
        <w:tab/>
      </w:r>
      <w:r w:rsidRPr="00A17B6F">
        <w:rPr>
          <w:rFonts w:ascii="Arial" w:eastAsia="Times New Roman" w:hAnsi="Arial" w:cs="Arial"/>
          <w:sz w:val="20"/>
          <w:szCs w:val="20"/>
          <w:lang w:eastAsia="hr-HR"/>
        </w:rPr>
        <w:t xml:space="preserve">- u </w:t>
      </w:r>
      <w:r w:rsidR="0058314D" w:rsidRPr="00A17B6F">
        <w:rPr>
          <w:rFonts w:ascii="Arial" w:eastAsia="Times New Roman" w:hAnsi="Arial" w:cs="Arial"/>
          <w:sz w:val="20"/>
          <w:szCs w:val="20"/>
          <w:lang w:eastAsia="hr-HR"/>
        </w:rPr>
        <w:t>eurima</w:t>
      </w:r>
    </w:p>
    <w:p w14:paraId="262F7062" w14:textId="04F738D8" w:rsidR="00D10805" w:rsidRPr="00BC1CA7" w:rsidRDefault="00D10805" w:rsidP="00087289">
      <w:pPr>
        <w:spacing w:after="0" w:line="240" w:lineRule="auto"/>
        <w:jc w:val="both"/>
        <w:rPr>
          <w:rFonts w:ascii="Arial" w:eastAsia="Times New Roman" w:hAnsi="Arial" w:cs="Arial"/>
          <w:sz w:val="8"/>
          <w:szCs w:val="8"/>
          <w:lang w:eastAsia="hr-HR"/>
        </w:rPr>
      </w:pPr>
    </w:p>
    <w:tbl>
      <w:tblPr>
        <w:tblW w:w="10909" w:type="dxa"/>
        <w:tblInd w:w="-567" w:type="dxa"/>
        <w:tblLook w:val="04A0" w:firstRow="1" w:lastRow="0" w:firstColumn="1" w:lastColumn="0" w:noHBand="0" w:noVBand="1"/>
      </w:tblPr>
      <w:tblGrid>
        <w:gridCol w:w="960"/>
        <w:gridCol w:w="2159"/>
        <w:gridCol w:w="1540"/>
        <w:gridCol w:w="1363"/>
        <w:gridCol w:w="1540"/>
        <w:gridCol w:w="1363"/>
        <w:gridCol w:w="992"/>
        <w:gridCol w:w="992"/>
      </w:tblGrid>
      <w:tr w:rsidR="00D10805" w:rsidRPr="00A17B6F" w14:paraId="6978C081" w14:textId="77777777" w:rsidTr="00D10805">
        <w:trPr>
          <w:trHeight w:val="1215"/>
        </w:trPr>
        <w:tc>
          <w:tcPr>
            <w:tcW w:w="960" w:type="dxa"/>
            <w:tcBorders>
              <w:top w:val="single" w:sz="8" w:space="0" w:color="auto"/>
              <w:left w:val="nil"/>
              <w:bottom w:val="nil"/>
              <w:right w:val="nil"/>
            </w:tcBorders>
            <w:shd w:val="clear" w:color="auto" w:fill="auto"/>
            <w:vAlign w:val="center"/>
            <w:hideMark/>
          </w:tcPr>
          <w:p w14:paraId="252412BA"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proofErr w:type="spellStart"/>
            <w:r w:rsidRPr="00A17B6F">
              <w:rPr>
                <w:rFonts w:ascii="Calibri" w:eastAsia="Times New Roman" w:hAnsi="Calibri" w:cs="Calibri"/>
                <w:b/>
                <w:bCs/>
                <w:color w:val="000000"/>
                <w:sz w:val="18"/>
                <w:szCs w:val="18"/>
                <w:lang w:eastAsia="hr-HR"/>
              </w:rPr>
              <w:t>Red.Br.</w:t>
            </w:r>
            <w:proofErr w:type="spellEnd"/>
          </w:p>
        </w:tc>
        <w:tc>
          <w:tcPr>
            <w:tcW w:w="2159" w:type="dxa"/>
            <w:tcBorders>
              <w:top w:val="single" w:sz="8" w:space="0" w:color="auto"/>
              <w:left w:val="nil"/>
              <w:bottom w:val="nil"/>
              <w:right w:val="nil"/>
            </w:tcBorders>
            <w:shd w:val="clear" w:color="auto" w:fill="auto"/>
            <w:vAlign w:val="center"/>
            <w:hideMark/>
          </w:tcPr>
          <w:p w14:paraId="73EF34F2"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Opis</w:t>
            </w:r>
          </w:p>
        </w:tc>
        <w:tc>
          <w:tcPr>
            <w:tcW w:w="1540" w:type="dxa"/>
            <w:tcBorders>
              <w:top w:val="single" w:sz="8" w:space="0" w:color="auto"/>
              <w:left w:val="nil"/>
              <w:bottom w:val="nil"/>
              <w:right w:val="nil"/>
            </w:tcBorders>
            <w:shd w:val="clear" w:color="auto" w:fill="auto"/>
            <w:vAlign w:val="center"/>
            <w:hideMark/>
          </w:tcPr>
          <w:p w14:paraId="3ACF1DC7"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Izvršenje </w:t>
            </w:r>
            <w:r w:rsidRPr="00A17B6F">
              <w:rPr>
                <w:rFonts w:ascii="Calibri" w:eastAsia="Times New Roman" w:hAnsi="Calibri" w:cs="Calibri"/>
                <w:b/>
                <w:bCs/>
                <w:color w:val="000000"/>
                <w:sz w:val="18"/>
                <w:szCs w:val="18"/>
                <w:lang w:eastAsia="hr-HR"/>
              </w:rPr>
              <w:br/>
              <w:t>1.-6.2023</w:t>
            </w:r>
          </w:p>
        </w:tc>
        <w:tc>
          <w:tcPr>
            <w:tcW w:w="1363" w:type="dxa"/>
            <w:tcBorders>
              <w:top w:val="single" w:sz="8" w:space="0" w:color="auto"/>
              <w:left w:val="nil"/>
              <w:bottom w:val="nil"/>
              <w:right w:val="nil"/>
            </w:tcBorders>
            <w:shd w:val="clear" w:color="auto" w:fill="auto"/>
            <w:vAlign w:val="center"/>
            <w:hideMark/>
          </w:tcPr>
          <w:p w14:paraId="36B62A7E"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Rebalans </w:t>
            </w:r>
            <w:r w:rsidRPr="00A17B6F">
              <w:rPr>
                <w:rFonts w:ascii="Calibri" w:eastAsia="Times New Roman" w:hAnsi="Calibri" w:cs="Calibri"/>
                <w:b/>
                <w:bCs/>
                <w:color w:val="000000"/>
                <w:sz w:val="18"/>
                <w:szCs w:val="18"/>
                <w:lang w:eastAsia="hr-HR"/>
              </w:rPr>
              <w:br/>
              <w:t>2024.</w:t>
            </w:r>
          </w:p>
        </w:tc>
        <w:tc>
          <w:tcPr>
            <w:tcW w:w="1540" w:type="dxa"/>
            <w:tcBorders>
              <w:top w:val="single" w:sz="8" w:space="0" w:color="auto"/>
              <w:left w:val="nil"/>
              <w:bottom w:val="nil"/>
              <w:right w:val="nil"/>
            </w:tcBorders>
            <w:shd w:val="clear" w:color="auto" w:fill="auto"/>
            <w:vAlign w:val="center"/>
            <w:hideMark/>
          </w:tcPr>
          <w:p w14:paraId="0588FD64"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Tekući plan</w:t>
            </w:r>
            <w:r w:rsidRPr="00A17B6F">
              <w:rPr>
                <w:rFonts w:ascii="Calibri" w:eastAsia="Times New Roman" w:hAnsi="Calibri" w:cs="Calibri"/>
                <w:b/>
                <w:bCs/>
                <w:color w:val="000000"/>
                <w:sz w:val="18"/>
                <w:szCs w:val="18"/>
                <w:lang w:eastAsia="hr-HR"/>
              </w:rPr>
              <w:br/>
              <w:t>2024.</w:t>
            </w:r>
          </w:p>
        </w:tc>
        <w:tc>
          <w:tcPr>
            <w:tcW w:w="1363" w:type="dxa"/>
            <w:tcBorders>
              <w:top w:val="single" w:sz="8" w:space="0" w:color="auto"/>
              <w:left w:val="nil"/>
              <w:bottom w:val="nil"/>
              <w:right w:val="nil"/>
            </w:tcBorders>
            <w:shd w:val="clear" w:color="auto" w:fill="auto"/>
            <w:vAlign w:val="center"/>
            <w:hideMark/>
          </w:tcPr>
          <w:p w14:paraId="736DA218"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Izvršenje </w:t>
            </w:r>
            <w:r w:rsidRPr="00A17B6F">
              <w:rPr>
                <w:rFonts w:ascii="Calibri" w:eastAsia="Times New Roman" w:hAnsi="Calibri" w:cs="Calibri"/>
                <w:b/>
                <w:bCs/>
                <w:color w:val="000000"/>
                <w:sz w:val="18"/>
                <w:szCs w:val="18"/>
                <w:lang w:eastAsia="hr-HR"/>
              </w:rPr>
              <w:br/>
              <w:t>1.-6.2024.</w:t>
            </w:r>
          </w:p>
        </w:tc>
        <w:tc>
          <w:tcPr>
            <w:tcW w:w="992" w:type="dxa"/>
            <w:tcBorders>
              <w:top w:val="single" w:sz="8" w:space="0" w:color="auto"/>
              <w:left w:val="nil"/>
              <w:bottom w:val="nil"/>
              <w:right w:val="nil"/>
            </w:tcBorders>
            <w:shd w:val="clear" w:color="auto" w:fill="auto"/>
            <w:vAlign w:val="center"/>
            <w:hideMark/>
          </w:tcPr>
          <w:p w14:paraId="4FF05879"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Indeks Izvršenje 2024/</w:t>
            </w:r>
            <w:r w:rsidRPr="00A17B6F">
              <w:rPr>
                <w:rFonts w:ascii="Calibri" w:eastAsia="Times New Roman" w:hAnsi="Calibri" w:cs="Calibri"/>
                <w:b/>
                <w:bCs/>
                <w:color w:val="000000"/>
                <w:sz w:val="18"/>
                <w:szCs w:val="18"/>
                <w:lang w:eastAsia="hr-HR"/>
              </w:rPr>
              <w:br/>
              <w:t>Izvršenje 2023</w:t>
            </w:r>
          </w:p>
        </w:tc>
        <w:tc>
          <w:tcPr>
            <w:tcW w:w="992" w:type="dxa"/>
            <w:tcBorders>
              <w:top w:val="single" w:sz="8" w:space="0" w:color="auto"/>
              <w:left w:val="nil"/>
              <w:bottom w:val="nil"/>
              <w:right w:val="nil"/>
            </w:tcBorders>
            <w:shd w:val="clear" w:color="auto" w:fill="auto"/>
            <w:vAlign w:val="center"/>
            <w:hideMark/>
          </w:tcPr>
          <w:p w14:paraId="527EE735"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Indeks Izvršenje 2024/</w:t>
            </w:r>
            <w:r w:rsidRPr="00A17B6F">
              <w:rPr>
                <w:rFonts w:ascii="Calibri" w:eastAsia="Times New Roman" w:hAnsi="Calibri" w:cs="Calibri"/>
                <w:b/>
                <w:bCs/>
                <w:color w:val="000000"/>
                <w:sz w:val="18"/>
                <w:szCs w:val="18"/>
                <w:lang w:eastAsia="hr-HR"/>
              </w:rPr>
              <w:br/>
              <w:t>Tekući plan 2023</w:t>
            </w:r>
          </w:p>
        </w:tc>
      </w:tr>
      <w:tr w:rsidR="00D10805" w:rsidRPr="00A17B6F" w14:paraId="5E8C67C9" w14:textId="77777777" w:rsidTr="00D10805">
        <w:trPr>
          <w:trHeight w:val="240"/>
        </w:trPr>
        <w:tc>
          <w:tcPr>
            <w:tcW w:w="960" w:type="dxa"/>
            <w:tcBorders>
              <w:top w:val="single" w:sz="8" w:space="0" w:color="auto"/>
              <w:left w:val="nil"/>
              <w:bottom w:val="single" w:sz="8" w:space="0" w:color="auto"/>
              <w:right w:val="nil"/>
            </w:tcBorders>
            <w:shd w:val="clear" w:color="auto" w:fill="auto"/>
            <w:vAlign w:val="center"/>
            <w:hideMark/>
          </w:tcPr>
          <w:p w14:paraId="587E166A"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w:t>
            </w:r>
          </w:p>
        </w:tc>
        <w:tc>
          <w:tcPr>
            <w:tcW w:w="2159" w:type="dxa"/>
            <w:tcBorders>
              <w:top w:val="single" w:sz="8" w:space="0" w:color="auto"/>
              <w:left w:val="nil"/>
              <w:bottom w:val="single" w:sz="8" w:space="0" w:color="auto"/>
              <w:right w:val="nil"/>
            </w:tcBorders>
            <w:shd w:val="clear" w:color="auto" w:fill="auto"/>
            <w:vAlign w:val="center"/>
            <w:hideMark/>
          </w:tcPr>
          <w:p w14:paraId="782EBC84"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2</w:t>
            </w:r>
          </w:p>
        </w:tc>
        <w:tc>
          <w:tcPr>
            <w:tcW w:w="1540" w:type="dxa"/>
            <w:tcBorders>
              <w:top w:val="single" w:sz="8" w:space="0" w:color="auto"/>
              <w:left w:val="nil"/>
              <w:bottom w:val="single" w:sz="8" w:space="0" w:color="auto"/>
              <w:right w:val="nil"/>
            </w:tcBorders>
            <w:shd w:val="clear" w:color="auto" w:fill="auto"/>
            <w:vAlign w:val="center"/>
            <w:hideMark/>
          </w:tcPr>
          <w:p w14:paraId="34031641"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3</w:t>
            </w:r>
          </w:p>
        </w:tc>
        <w:tc>
          <w:tcPr>
            <w:tcW w:w="1363" w:type="dxa"/>
            <w:tcBorders>
              <w:top w:val="single" w:sz="8" w:space="0" w:color="auto"/>
              <w:left w:val="nil"/>
              <w:bottom w:val="single" w:sz="8" w:space="0" w:color="auto"/>
              <w:right w:val="nil"/>
            </w:tcBorders>
            <w:shd w:val="clear" w:color="auto" w:fill="auto"/>
            <w:vAlign w:val="center"/>
            <w:hideMark/>
          </w:tcPr>
          <w:p w14:paraId="757990A7"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w:t>
            </w:r>
          </w:p>
        </w:tc>
        <w:tc>
          <w:tcPr>
            <w:tcW w:w="1540" w:type="dxa"/>
            <w:tcBorders>
              <w:top w:val="single" w:sz="8" w:space="0" w:color="auto"/>
              <w:left w:val="nil"/>
              <w:bottom w:val="single" w:sz="8" w:space="0" w:color="auto"/>
              <w:right w:val="nil"/>
            </w:tcBorders>
            <w:shd w:val="clear" w:color="auto" w:fill="auto"/>
            <w:vAlign w:val="center"/>
            <w:hideMark/>
          </w:tcPr>
          <w:p w14:paraId="53AF5D17"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5</w:t>
            </w:r>
          </w:p>
        </w:tc>
        <w:tc>
          <w:tcPr>
            <w:tcW w:w="1363" w:type="dxa"/>
            <w:tcBorders>
              <w:top w:val="single" w:sz="8" w:space="0" w:color="auto"/>
              <w:left w:val="nil"/>
              <w:bottom w:val="single" w:sz="8" w:space="0" w:color="auto"/>
              <w:right w:val="nil"/>
            </w:tcBorders>
            <w:shd w:val="clear" w:color="auto" w:fill="auto"/>
            <w:vAlign w:val="center"/>
            <w:hideMark/>
          </w:tcPr>
          <w:p w14:paraId="0993101A"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6</w:t>
            </w:r>
          </w:p>
        </w:tc>
        <w:tc>
          <w:tcPr>
            <w:tcW w:w="992" w:type="dxa"/>
            <w:tcBorders>
              <w:top w:val="single" w:sz="8" w:space="0" w:color="auto"/>
              <w:left w:val="nil"/>
              <w:bottom w:val="single" w:sz="8" w:space="0" w:color="auto"/>
              <w:right w:val="nil"/>
            </w:tcBorders>
            <w:shd w:val="clear" w:color="auto" w:fill="auto"/>
            <w:vAlign w:val="center"/>
            <w:hideMark/>
          </w:tcPr>
          <w:p w14:paraId="69DD79A1"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7(6/3*100)</w:t>
            </w:r>
          </w:p>
        </w:tc>
        <w:tc>
          <w:tcPr>
            <w:tcW w:w="992" w:type="dxa"/>
            <w:tcBorders>
              <w:top w:val="single" w:sz="8" w:space="0" w:color="auto"/>
              <w:left w:val="nil"/>
              <w:bottom w:val="single" w:sz="8" w:space="0" w:color="auto"/>
              <w:right w:val="nil"/>
            </w:tcBorders>
            <w:shd w:val="clear" w:color="auto" w:fill="auto"/>
            <w:vAlign w:val="center"/>
            <w:hideMark/>
          </w:tcPr>
          <w:p w14:paraId="708FFA90"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8(6/5*100)</w:t>
            </w:r>
          </w:p>
        </w:tc>
      </w:tr>
      <w:tr w:rsidR="00D10805" w:rsidRPr="00A17B6F" w14:paraId="47889352" w14:textId="77777777" w:rsidTr="00D10805">
        <w:trPr>
          <w:trHeight w:val="315"/>
        </w:trPr>
        <w:tc>
          <w:tcPr>
            <w:tcW w:w="960" w:type="dxa"/>
            <w:tcBorders>
              <w:top w:val="nil"/>
              <w:left w:val="nil"/>
              <w:bottom w:val="single" w:sz="8" w:space="0" w:color="auto"/>
              <w:right w:val="nil"/>
            </w:tcBorders>
            <w:shd w:val="clear" w:color="auto" w:fill="auto"/>
            <w:noWrap/>
            <w:vAlign w:val="center"/>
            <w:hideMark/>
          </w:tcPr>
          <w:p w14:paraId="4B76856D"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w:t>
            </w:r>
          </w:p>
        </w:tc>
        <w:tc>
          <w:tcPr>
            <w:tcW w:w="2159" w:type="dxa"/>
            <w:tcBorders>
              <w:top w:val="nil"/>
              <w:left w:val="nil"/>
              <w:bottom w:val="single" w:sz="8" w:space="0" w:color="auto"/>
              <w:right w:val="nil"/>
            </w:tcBorders>
            <w:shd w:val="clear" w:color="auto" w:fill="auto"/>
            <w:vAlign w:val="center"/>
            <w:hideMark/>
          </w:tcPr>
          <w:p w14:paraId="1CE986A8"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UKUPNI PRIHODI I PRIMICI</w:t>
            </w:r>
          </w:p>
        </w:tc>
        <w:tc>
          <w:tcPr>
            <w:tcW w:w="1540" w:type="dxa"/>
            <w:tcBorders>
              <w:top w:val="nil"/>
              <w:left w:val="nil"/>
              <w:bottom w:val="single" w:sz="8" w:space="0" w:color="auto"/>
              <w:right w:val="nil"/>
            </w:tcBorders>
            <w:shd w:val="clear" w:color="auto" w:fill="auto"/>
            <w:noWrap/>
            <w:vAlign w:val="center"/>
            <w:hideMark/>
          </w:tcPr>
          <w:p w14:paraId="45DFAFA0"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102.311.024,08</w:t>
            </w:r>
          </w:p>
        </w:tc>
        <w:tc>
          <w:tcPr>
            <w:tcW w:w="1363" w:type="dxa"/>
            <w:tcBorders>
              <w:top w:val="nil"/>
              <w:left w:val="nil"/>
              <w:bottom w:val="single" w:sz="8" w:space="0" w:color="auto"/>
              <w:right w:val="nil"/>
            </w:tcBorders>
            <w:shd w:val="clear" w:color="auto" w:fill="auto"/>
            <w:noWrap/>
            <w:vAlign w:val="center"/>
            <w:hideMark/>
          </w:tcPr>
          <w:p w14:paraId="316169BD"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283.360.622,19</w:t>
            </w:r>
          </w:p>
        </w:tc>
        <w:tc>
          <w:tcPr>
            <w:tcW w:w="1540" w:type="dxa"/>
            <w:tcBorders>
              <w:top w:val="nil"/>
              <w:left w:val="nil"/>
              <w:bottom w:val="single" w:sz="8" w:space="0" w:color="auto"/>
              <w:right w:val="nil"/>
            </w:tcBorders>
            <w:shd w:val="clear" w:color="auto" w:fill="auto"/>
            <w:noWrap/>
            <w:vAlign w:val="center"/>
            <w:hideMark/>
          </w:tcPr>
          <w:p w14:paraId="01223E9F"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283.360.622,19</w:t>
            </w:r>
          </w:p>
        </w:tc>
        <w:tc>
          <w:tcPr>
            <w:tcW w:w="1363" w:type="dxa"/>
            <w:tcBorders>
              <w:top w:val="nil"/>
              <w:left w:val="nil"/>
              <w:bottom w:val="single" w:sz="8" w:space="0" w:color="auto"/>
              <w:right w:val="nil"/>
            </w:tcBorders>
            <w:shd w:val="clear" w:color="auto" w:fill="auto"/>
            <w:noWrap/>
            <w:vAlign w:val="center"/>
            <w:hideMark/>
          </w:tcPr>
          <w:p w14:paraId="19C90DC4"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133.309.481,33</w:t>
            </w:r>
          </w:p>
        </w:tc>
        <w:tc>
          <w:tcPr>
            <w:tcW w:w="992" w:type="dxa"/>
            <w:tcBorders>
              <w:top w:val="nil"/>
              <w:left w:val="nil"/>
              <w:bottom w:val="single" w:sz="8" w:space="0" w:color="auto"/>
              <w:right w:val="nil"/>
            </w:tcBorders>
            <w:shd w:val="clear" w:color="auto" w:fill="auto"/>
            <w:noWrap/>
            <w:vAlign w:val="center"/>
            <w:hideMark/>
          </w:tcPr>
          <w:p w14:paraId="5121CDED"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130,30</w:t>
            </w:r>
          </w:p>
        </w:tc>
        <w:tc>
          <w:tcPr>
            <w:tcW w:w="992" w:type="dxa"/>
            <w:tcBorders>
              <w:top w:val="nil"/>
              <w:left w:val="nil"/>
              <w:bottom w:val="single" w:sz="8" w:space="0" w:color="auto"/>
              <w:right w:val="nil"/>
            </w:tcBorders>
            <w:shd w:val="clear" w:color="auto" w:fill="auto"/>
            <w:noWrap/>
            <w:vAlign w:val="center"/>
            <w:hideMark/>
          </w:tcPr>
          <w:p w14:paraId="18E5EB82"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47,05</w:t>
            </w:r>
          </w:p>
        </w:tc>
      </w:tr>
      <w:tr w:rsidR="00D10805" w:rsidRPr="00A17B6F" w14:paraId="230F4D39" w14:textId="77777777" w:rsidTr="00D10805">
        <w:trPr>
          <w:trHeight w:val="300"/>
        </w:trPr>
        <w:tc>
          <w:tcPr>
            <w:tcW w:w="960" w:type="dxa"/>
            <w:tcBorders>
              <w:top w:val="nil"/>
              <w:left w:val="nil"/>
              <w:bottom w:val="nil"/>
              <w:right w:val="nil"/>
            </w:tcBorders>
            <w:shd w:val="clear" w:color="auto" w:fill="auto"/>
            <w:noWrap/>
            <w:vAlign w:val="center"/>
            <w:hideMark/>
          </w:tcPr>
          <w:p w14:paraId="5D889A5D"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1.1.</w:t>
            </w:r>
          </w:p>
        </w:tc>
        <w:tc>
          <w:tcPr>
            <w:tcW w:w="2159" w:type="dxa"/>
            <w:tcBorders>
              <w:top w:val="nil"/>
              <w:left w:val="nil"/>
              <w:bottom w:val="nil"/>
              <w:right w:val="nil"/>
            </w:tcBorders>
            <w:shd w:val="clear" w:color="auto" w:fill="auto"/>
            <w:vAlign w:val="center"/>
            <w:hideMark/>
          </w:tcPr>
          <w:p w14:paraId="5C96B900"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Ukupni prihodi  </w:t>
            </w:r>
          </w:p>
        </w:tc>
        <w:tc>
          <w:tcPr>
            <w:tcW w:w="1540" w:type="dxa"/>
            <w:tcBorders>
              <w:top w:val="nil"/>
              <w:left w:val="nil"/>
              <w:bottom w:val="nil"/>
              <w:right w:val="nil"/>
            </w:tcBorders>
            <w:shd w:val="clear" w:color="auto" w:fill="auto"/>
            <w:noWrap/>
            <w:vAlign w:val="center"/>
            <w:hideMark/>
          </w:tcPr>
          <w:p w14:paraId="1D441F53"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102.133.905,65</w:t>
            </w:r>
          </w:p>
        </w:tc>
        <w:tc>
          <w:tcPr>
            <w:tcW w:w="1363" w:type="dxa"/>
            <w:tcBorders>
              <w:top w:val="nil"/>
              <w:left w:val="nil"/>
              <w:bottom w:val="nil"/>
              <w:right w:val="nil"/>
            </w:tcBorders>
            <w:shd w:val="clear" w:color="auto" w:fill="auto"/>
            <w:noWrap/>
            <w:vAlign w:val="center"/>
            <w:hideMark/>
          </w:tcPr>
          <w:p w14:paraId="59728353"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280.800.977,19</w:t>
            </w:r>
          </w:p>
        </w:tc>
        <w:tc>
          <w:tcPr>
            <w:tcW w:w="1540" w:type="dxa"/>
            <w:tcBorders>
              <w:top w:val="nil"/>
              <w:left w:val="nil"/>
              <w:bottom w:val="nil"/>
              <w:right w:val="nil"/>
            </w:tcBorders>
            <w:shd w:val="clear" w:color="auto" w:fill="auto"/>
            <w:noWrap/>
            <w:vAlign w:val="center"/>
            <w:hideMark/>
          </w:tcPr>
          <w:p w14:paraId="1924EEA2"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280.800.977,19</w:t>
            </w:r>
          </w:p>
        </w:tc>
        <w:tc>
          <w:tcPr>
            <w:tcW w:w="1363" w:type="dxa"/>
            <w:tcBorders>
              <w:top w:val="nil"/>
              <w:left w:val="nil"/>
              <w:bottom w:val="nil"/>
              <w:right w:val="nil"/>
            </w:tcBorders>
            <w:shd w:val="clear" w:color="auto" w:fill="auto"/>
            <w:noWrap/>
            <w:vAlign w:val="center"/>
            <w:hideMark/>
          </w:tcPr>
          <w:p w14:paraId="38E36A69"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133.307.170,43</w:t>
            </w:r>
          </w:p>
        </w:tc>
        <w:tc>
          <w:tcPr>
            <w:tcW w:w="992" w:type="dxa"/>
            <w:tcBorders>
              <w:top w:val="nil"/>
              <w:left w:val="nil"/>
              <w:bottom w:val="nil"/>
              <w:right w:val="nil"/>
            </w:tcBorders>
            <w:shd w:val="clear" w:color="auto" w:fill="auto"/>
            <w:noWrap/>
            <w:vAlign w:val="center"/>
            <w:hideMark/>
          </w:tcPr>
          <w:p w14:paraId="07760268"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130,52</w:t>
            </w:r>
          </w:p>
        </w:tc>
        <w:tc>
          <w:tcPr>
            <w:tcW w:w="992" w:type="dxa"/>
            <w:tcBorders>
              <w:top w:val="nil"/>
              <w:left w:val="nil"/>
              <w:bottom w:val="nil"/>
              <w:right w:val="nil"/>
            </w:tcBorders>
            <w:shd w:val="clear" w:color="auto" w:fill="auto"/>
            <w:noWrap/>
            <w:vAlign w:val="center"/>
            <w:hideMark/>
          </w:tcPr>
          <w:p w14:paraId="55471577"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47,47</w:t>
            </w:r>
          </w:p>
        </w:tc>
      </w:tr>
      <w:tr w:rsidR="00D10805" w:rsidRPr="00A17B6F" w14:paraId="11C8C367" w14:textId="77777777" w:rsidTr="00D10805">
        <w:trPr>
          <w:trHeight w:val="300"/>
        </w:trPr>
        <w:tc>
          <w:tcPr>
            <w:tcW w:w="960" w:type="dxa"/>
            <w:tcBorders>
              <w:top w:val="nil"/>
              <w:left w:val="nil"/>
              <w:bottom w:val="nil"/>
              <w:right w:val="nil"/>
            </w:tcBorders>
            <w:shd w:val="clear" w:color="auto" w:fill="auto"/>
            <w:noWrap/>
            <w:vAlign w:val="center"/>
            <w:hideMark/>
          </w:tcPr>
          <w:p w14:paraId="1D125921" w14:textId="77777777" w:rsidR="00D10805" w:rsidRPr="00A17B6F" w:rsidRDefault="00D10805" w:rsidP="00D10805">
            <w:pPr>
              <w:spacing w:after="0" w:line="240" w:lineRule="auto"/>
              <w:jc w:val="center"/>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1.1.1.</w:t>
            </w:r>
          </w:p>
        </w:tc>
        <w:tc>
          <w:tcPr>
            <w:tcW w:w="2159" w:type="dxa"/>
            <w:tcBorders>
              <w:top w:val="nil"/>
              <w:left w:val="nil"/>
              <w:bottom w:val="nil"/>
              <w:right w:val="nil"/>
            </w:tcBorders>
            <w:shd w:val="clear" w:color="auto" w:fill="auto"/>
            <w:vAlign w:val="center"/>
            <w:hideMark/>
          </w:tcPr>
          <w:p w14:paraId="63F1FD29" w14:textId="77777777" w:rsidR="00D10805" w:rsidRPr="00A17B6F" w:rsidRDefault="00D10805" w:rsidP="00D10805">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Prihodi poslovanja</w:t>
            </w:r>
          </w:p>
        </w:tc>
        <w:tc>
          <w:tcPr>
            <w:tcW w:w="1540" w:type="dxa"/>
            <w:tcBorders>
              <w:top w:val="nil"/>
              <w:left w:val="nil"/>
              <w:bottom w:val="nil"/>
              <w:right w:val="nil"/>
            </w:tcBorders>
            <w:shd w:val="clear" w:color="auto" w:fill="auto"/>
            <w:noWrap/>
            <w:vAlign w:val="center"/>
            <w:hideMark/>
          </w:tcPr>
          <w:p w14:paraId="5589F43F"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102.090.151,81</w:t>
            </w:r>
          </w:p>
        </w:tc>
        <w:tc>
          <w:tcPr>
            <w:tcW w:w="1363" w:type="dxa"/>
            <w:tcBorders>
              <w:top w:val="nil"/>
              <w:left w:val="nil"/>
              <w:bottom w:val="nil"/>
              <w:right w:val="nil"/>
            </w:tcBorders>
            <w:shd w:val="clear" w:color="auto" w:fill="auto"/>
            <w:noWrap/>
            <w:vAlign w:val="center"/>
            <w:hideMark/>
          </w:tcPr>
          <w:p w14:paraId="286BF360"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280.074.999,81</w:t>
            </w:r>
          </w:p>
        </w:tc>
        <w:tc>
          <w:tcPr>
            <w:tcW w:w="1540" w:type="dxa"/>
            <w:tcBorders>
              <w:top w:val="nil"/>
              <w:left w:val="nil"/>
              <w:bottom w:val="nil"/>
              <w:right w:val="nil"/>
            </w:tcBorders>
            <w:shd w:val="clear" w:color="auto" w:fill="auto"/>
            <w:noWrap/>
            <w:vAlign w:val="center"/>
            <w:hideMark/>
          </w:tcPr>
          <w:p w14:paraId="50645F39"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280.074.999,81</w:t>
            </w:r>
          </w:p>
        </w:tc>
        <w:tc>
          <w:tcPr>
            <w:tcW w:w="1363" w:type="dxa"/>
            <w:tcBorders>
              <w:top w:val="nil"/>
              <w:left w:val="nil"/>
              <w:bottom w:val="nil"/>
              <w:right w:val="nil"/>
            </w:tcBorders>
            <w:shd w:val="clear" w:color="auto" w:fill="auto"/>
            <w:noWrap/>
            <w:vAlign w:val="center"/>
            <w:hideMark/>
          </w:tcPr>
          <w:p w14:paraId="35A5F423"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132.992.708,15</w:t>
            </w:r>
          </w:p>
        </w:tc>
        <w:tc>
          <w:tcPr>
            <w:tcW w:w="992" w:type="dxa"/>
            <w:tcBorders>
              <w:top w:val="nil"/>
              <w:left w:val="nil"/>
              <w:bottom w:val="nil"/>
              <w:right w:val="nil"/>
            </w:tcBorders>
            <w:shd w:val="clear" w:color="auto" w:fill="auto"/>
            <w:noWrap/>
            <w:vAlign w:val="center"/>
            <w:hideMark/>
          </w:tcPr>
          <w:p w14:paraId="3A93A1CE"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130,27</w:t>
            </w:r>
          </w:p>
        </w:tc>
        <w:tc>
          <w:tcPr>
            <w:tcW w:w="992" w:type="dxa"/>
            <w:tcBorders>
              <w:top w:val="nil"/>
              <w:left w:val="nil"/>
              <w:bottom w:val="nil"/>
              <w:right w:val="nil"/>
            </w:tcBorders>
            <w:shd w:val="clear" w:color="auto" w:fill="auto"/>
            <w:noWrap/>
            <w:vAlign w:val="center"/>
            <w:hideMark/>
          </w:tcPr>
          <w:p w14:paraId="4CB3336D"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47,48</w:t>
            </w:r>
          </w:p>
        </w:tc>
      </w:tr>
      <w:tr w:rsidR="00D10805" w:rsidRPr="00A17B6F" w14:paraId="5FCB179C" w14:textId="77777777" w:rsidTr="00D10805">
        <w:trPr>
          <w:trHeight w:val="480"/>
        </w:trPr>
        <w:tc>
          <w:tcPr>
            <w:tcW w:w="960" w:type="dxa"/>
            <w:tcBorders>
              <w:top w:val="nil"/>
              <w:left w:val="nil"/>
              <w:bottom w:val="nil"/>
              <w:right w:val="nil"/>
            </w:tcBorders>
            <w:shd w:val="clear" w:color="auto" w:fill="auto"/>
            <w:noWrap/>
            <w:vAlign w:val="center"/>
            <w:hideMark/>
          </w:tcPr>
          <w:p w14:paraId="5DFD01FC" w14:textId="77777777" w:rsidR="00D10805" w:rsidRPr="00A17B6F" w:rsidRDefault="00D10805" w:rsidP="00D10805">
            <w:pPr>
              <w:spacing w:after="0" w:line="240" w:lineRule="auto"/>
              <w:jc w:val="center"/>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1.1.2.</w:t>
            </w:r>
          </w:p>
        </w:tc>
        <w:tc>
          <w:tcPr>
            <w:tcW w:w="2159" w:type="dxa"/>
            <w:tcBorders>
              <w:top w:val="nil"/>
              <w:left w:val="nil"/>
              <w:bottom w:val="nil"/>
              <w:right w:val="nil"/>
            </w:tcBorders>
            <w:shd w:val="clear" w:color="auto" w:fill="auto"/>
            <w:vAlign w:val="center"/>
            <w:hideMark/>
          </w:tcPr>
          <w:p w14:paraId="4E4209E5" w14:textId="77777777" w:rsidR="00D10805" w:rsidRPr="00A17B6F" w:rsidRDefault="00D10805" w:rsidP="00D10805">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Prihodi od prodaje nefinancijske imovine</w:t>
            </w:r>
          </w:p>
        </w:tc>
        <w:tc>
          <w:tcPr>
            <w:tcW w:w="1540" w:type="dxa"/>
            <w:tcBorders>
              <w:top w:val="nil"/>
              <w:left w:val="nil"/>
              <w:bottom w:val="nil"/>
              <w:right w:val="nil"/>
            </w:tcBorders>
            <w:shd w:val="clear" w:color="auto" w:fill="auto"/>
            <w:noWrap/>
            <w:vAlign w:val="center"/>
            <w:hideMark/>
          </w:tcPr>
          <w:p w14:paraId="56827EDD"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43.753,84</w:t>
            </w:r>
          </w:p>
        </w:tc>
        <w:tc>
          <w:tcPr>
            <w:tcW w:w="1363" w:type="dxa"/>
            <w:tcBorders>
              <w:top w:val="nil"/>
              <w:left w:val="nil"/>
              <w:bottom w:val="nil"/>
              <w:right w:val="nil"/>
            </w:tcBorders>
            <w:shd w:val="clear" w:color="auto" w:fill="auto"/>
            <w:noWrap/>
            <w:vAlign w:val="center"/>
            <w:hideMark/>
          </w:tcPr>
          <w:p w14:paraId="6749DAF8"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725.977,38</w:t>
            </w:r>
          </w:p>
        </w:tc>
        <w:tc>
          <w:tcPr>
            <w:tcW w:w="1540" w:type="dxa"/>
            <w:tcBorders>
              <w:top w:val="nil"/>
              <w:left w:val="nil"/>
              <w:bottom w:val="nil"/>
              <w:right w:val="nil"/>
            </w:tcBorders>
            <w:shd w:val="clear" w:color="auto" w:fill="auto"/>
            <w:noWrap/>
            <w:vAlign w:val="center"/>
            <w:hideMark/>
          </w:tcPr>
          <w:p w14:paraId="17625182"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725.977,38</w:t>
            </w:r>
          </w:p>
        </w:tc>
        <w:tc>
          <w:tcPr>
            <w:tcW w:w="1363" w:type="dxa"/>
            <w:tcBorders>
              <w:top w:val="nil"/>
              <w:left w:val="nil"/>
              <w:bottom w:val="nil"/>
              <w:right w:val="nil"/>
            </w:tcBorders>
            <w:shd w:val="clear" w:color="auto" w:fill="auto"/>
            <w:noWrap/>
            <w:vAlign w:val="center"/>
            <w:hideMark/>
          </w:tcPr>
          <w:p w14:paraId="31DDB3E8"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314.462,28</w:t>
            </w:r>
          </w:p>
        </w:tc>
        <w:tc>
          <w:tcPr>
            <w:tcW w:w="992" w:type="dxa"/>
            <w:tcBorders>
              <w:top w:val="nil"/>
              <w:left w:val="nil"/>
              <w:bottom w:val="nil"/>
              <w:right w:val="nil"/>
            </w:tcBorders>
            <w:shd w:val="clear" w:color="auto" w:fill="auto"/>
            <w:noWrap/>
            <w:vAlign w:val="center"/>
            <w:hideMark/>
          </w:tcPr>
          <w:p w14:paraId="214B904B"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718,71</w:t>
            </w:r>
          </w:p>
        </w:tc>
        <w:tc>
          <w:tcPr>
            <w:tcW w:w="992" w:type="dxa"/>
            <w:tcBorders>
              <w:top w:val="nil"/>
              <w:left w:val="nil"/>
              <w:bottom w:val="nil"/>
              <w:right w:val="nil"/>
            </w:tcBorders>
            <w:shd w:val="clear" w:color="auto" w:fill="auto"/>
            <w:noWrap/>
            <w:vAlign w:val="center"/>
            <w:hideMark/>
          </w:tcPr>
          <w:p w14:paraId="6AEB4BE2"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43,32</w:t>
            </w:r>
          </w:p>
        </w:tc>
      </w:tr>
      <w:tr w:rsidR="00D10805" w:rsidRPr="00A17B6F" w14:paraId="7834F935" w14:textId="77777777" w:rsidTr="00D10805">
        <w:trPr>
          <w:trHeight w:val="495"/>
        </w:trPr>
        <w:tc>
          <w:tcPr>
            <w:tcW w:w="960" w:type="dxa"/>
            <w:tcBorders>
              <w:top w:val="nil"/>
              <w:left w:val="nil"/>
              <w:bottom w:val="nil"/>
              <w:right w:val="nil"/>
            </w:tcBorders>
            <w:shd w:val="clear" w:color="auto" w:fill="auto"/>
            <w:noWrap/>
            <w:vAlign w:val="center"/>
            <w:hideMark/>
          </w:tcPr>
          <w:p w14:paraId="0D5594EA"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w:t>
            </w:r>
          </w:p>
        </w:tc>
        <w:tc>
          <w:tcPr>
            <w:tcW w:w="2159" w:type="dxa"/>
            <w:tcBorders>
              <w:top w:val="nil"/>
              <w:left w:val="nil"/>
              <w:bottom w:val="nil"/>
              <w:right w:val="nil"/>
            </w:tcBorders>
            <w:shd w:val="clear" w:color="auto" w:fill="auto"/>
            <w:vAlign w:val="center"/>
            <w:hideMark/>
          </w:tcPr>
          <w:p w14:paraId="273E954C"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Primici od financijske imovine i zaduživanja</w:t>
            </w:r>
          </w:p>
        </w:tc>
        <w:tc>
          <w:tcPr>
            <w:tcW w:w="1540" w:type="dxa"/>
            <w:tcBorders>
              <w:top w:val="nil"/>
              <w:left w:val="nil"/>
              <w:bottom w:val="nil"/>
              <w:right w:val="nil"/>
            </w:tcBorders>
            <w:shd w:val="clear" w:color="auto" w:fill="auto"/>
            <w:noWrap/>
            <w:vAlign w:val="center"/>
            <w:hideMark/>
          </w:tcPr>
          <w:p w14:paraId="26F2589B"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177.118,43</w:t>
            </w:r>
          </w:p>
        </w:tc>
        <w:tc>
          <w:tcPr>
            <w:tcW w:w="1363" w:type="dxa"/>
            <w:tcBorders>
              <w:top w:val="nil"/>
              <w:left w:val="nil"/>
              <w:bottom w:val="nil"/>
              <w:right w:val="nil"/>
            </w:tcBorders>
            <w:shd w:val="clear" w:color="auto" w:fill="auto"/>
            <w:noWrap/>
            <w:vAlign w:val="center"/>
            <w:hideMark/>
          </w:tcPr>
          <w:p w14:paraId="3A3DFD8A"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2.559.645,00</w:t>
            </w:r>
          </w:p>
        </w:tc>
        <w:tc>
          <w:tcPr>
            <w:tcW w:w="1540" w:type="dxa"/>
            <w:tcBorders>
              <w:top w:val="nil"/>
              <w:left w:val="nil"/>
              <w:bottom w:val="nil"/>
              <w:right w:val="nil"/>
            </w:tcBorders>
            <w:shd w:val="clear" w:color="auto" w:fill="auto"/>
            <w:noWrap/>
            <w:vAlign w:val="center"/>
            <w:hideMark/>
          </w:tcPr>
          <w:p w14:paraId="773458B1"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2.559.645,00</w:t>
            </w:r>
          </w:p>
        </w:tc>
        <w:tc>
          <w:tcPr>
            <w:tcW w:w="1363" w:type="dxa"/>
            <w:tcBorders>
              <w:top w:val="nil"/>
              <w:left w:val="nil"/>
              <w:bottom w:val="nil"/>
              <w:right w:val="nil"/>
            </w:tcBorders>
            <w:shd w:val="clear" w:color="auto" w:fill="auto"/>
            <w:noWrap/>
            <w:vAlign w:val="center"/>
            <w:hideMark/>
          </w:tcPr>
          <w:p w14:paraId="2E3B7C08"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2.310,90</w:t>
            </w:r>
          </w:p>
        </w:tc>
        <w:tc>
          <w:tcPr>
            <w:tcW w:w="992" w:type="dxa"/>
            <w:tcBorders>
              <w:top w:val="nil"/>
              <w:left w:val="nil"/>
              <w:bottom w:val="nil"/>
              <w:right w:val="nil"/>
            </w:tcBorders>
            <w:shd w:val="clear" w:color="auto" w:fill="auto"/>
            <w:noWrap/>
            <w:vAlign w:val="center"/>
            <w:hideMark/>
          </w:tcPr>
          <w:p w14:paraId="3B1210F4"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1,30</w:t>
            </w:r>
          </w:p>
        </w:tc>
        <w:tc>
          <w:tcPr>
            <w:tcW w:w="992" w:type="dxa"/>
            <w:tcBorders>
              <w:top w:val="nil"/>
              <w:left w:val="nil"/>
              <w:bottom w:val="nil"/>
              <w:right w:val="nil"/>
            </w:tcBorders>
            <w:shd w:val="clear" w:color="auto" w:fill="auto"/>
            <w:noWrap/>
            <w:vAlign w:val="center"/>
            <w:hideMark/>
          </w:tcPr>
          <w:p w14:paraId="3F213682"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0,09</w:t>
            </w:r>
          </w:p>
        </w:tc>
      </w:tr>
      <w:tr w:rsidR="00D10805" w:rsidRPr="00A17B6F" w14:paraId="542D9AF6" w14:textId="77777777" w:rsidTr="00D10805">
        <w:trPr>
          <w:trHeight w:val="315"/>
        </w:trPr>
        <w:tc>
          <w:tcPr>
            <w:tcW w:w="960" w:type="dxa"/>
            <w:tcBorders>
              <w:top w:val="single" w:sz="8" w:space="0" w:color="auto"/>
              <w:left w:val="nil"/>
              <w:bottom w:val="single" w:sz="8" w:space="0" w:color="auto"/>
              <w:right w:val="nil"/>
            </w:tcBorders>
            <w:shd w:val="clear" w:color="auto" w:fill="auto"/>
            <w:noWrap/>
            <w:vAlign w:val="center"/>
            <w:hideMark/>
          </w:tcPr>
          <w:p w14:paraId="23495A3F"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w:t>
            </w:r>
          </w:p>
        </w:tc>
        <w:tc>
          <w:tcPr>
            <w:tcW w:w="2159" w:type="dxa"/>
            <w:tcBorders>
              <w:top w:val="single" w:sz="8" w:space="0" w:color="auto"/>
              <w:left w:val="nil"/>
              <w:bottom w:val="single" w:sz="8" w:space="0" w:color="auto"/>
              <w:right w:val="nil"/>
            </w:tcBorders>
            <w:shd w:val="clear" w:color="auto" w:fill="auto"/>
            <w:vAlign w:val="center"/>
            <w:hideMark/>
          </w:tcPr>
          <w:p w14:paraId="5017DD41"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UKUPNI RASHODI IZDACI</w:t>
            </w:r>
          </w:p>
        </w:tc>
        <w:tc>
          <w:tcPr>
            <w:tcW w:w="1540" w:type="dxa"/>
            <w:tcBorders>
              <w:top w:val="single" w:sz="8" w:space="0" w:color="auto"/>
              <w:left w:val="nil"/>
              <w:bottom w:val="single" w:sz="8" w:space="0" w:color="auto"/>
              <w:right w:val="nil"/>
            </w:tcBorders>
            <w:shd w:val="clear" w:color="auto" w:fill="auto"/>
            <w:noWrap/>
            <w:vAlign w:val="center"/>
            <w:hideMark/>
          </w:tcPr>
          <w:p w14:paraId="3E8FF38F"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99.953.195,34</w:t>
            </w:r>
          </w:p>
        </w:tc>
        <w:tc>
          <w:tcPr>
            <w:tcW w:w="1363" w:type="dxa"/>
            <w:tcBorders>
              <w:top w:val="single" w:sz="8" w:space="0" w:color="auto"/>
              <w:left w:val="nil"/>
              <w:bottom w:val="single" w:sz="8" w:space="0" w:color="auto"/>
              <w:right w:val="nil"/>
            </w:tcBorders>
            <w:shd w:val="clear" w:color="auto" w:fill="auto"/>
            <w:noWrap/>
            <w:vAlign w:val="center"/>
            <w:hideMark/>
          </w:tcPr>
          <w:p w14:paraId="337F92D6"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294.990.000,00</w:t>
            </w:r>
          </w:p>
        </w:tc>
        <w:tc>
          <w:tcPr>
            <w:tcW w:w="1540" w:type="dxa"/>
            <w:tcBorders>
              <w:top w:val="single" w:sz="8" w:space="0" w:color="auto"/>
              <w:left w:val="nil"/>
              <w:bottom w:val="single" w:sz="8" w:space="0" w:color="auto"/>
              <w:right w:val="nil"/>
            </w:tcBorders>
            <w:shd w:val="clear" w:color="auto" w:fill="auto"/>
            <w:noWrap/>
            <w:vAlign w:val="center"/>
            <w:hideMark/>
          </w:tcPr>
          <w:p w14:paraId="4030E612"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294.990.000,00</w:t>
            </w:r>
          </w:p>
        </w:tc>
        <w:tc>
          <w:tcPr>
            <w:tcW w:w="1363" w:type="dxa"/>
            <w:tcBorders>
              <w:top w:val="single" w:sz="8" w:space="0" w:color="auto"/>
              <w:left w:val="nil"/>
              <w:bottom w:val="single" w:sz="8" w:space="0" w:color="auto"/>
              <w:right w:val="nil"/>
            </w:tcBorders>
            <w:shd w:val="clear" w:color="auto" w:fill="auto"/>
            <w:noWrap/>
            <w:vAlign w:val="center"/>
            <w:hideMark/>
          </w:tcPr>
          <w:p w14:paraId="2EF72193"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123.393.295,52</w:t>
            </w:r>
          </w:p>
        </w:tc>
        <w:tc>
          <w:tcPr>
            <w:tcW w:w="992" w:type="dxa"/>
            <w:tcBorders>
              <w:top w:val="single" w:sz="8" w:space="0" w:color="auto"/>
              <w:left w:val="nil"/>
              <w:bottom w:val="single" w:sz="8" w:space="0" w:color="auto"/>
              <w:right w:val="nil"/>
            </w:tcBorders>
            <w:shd w:val="clear" w:color="auto" w:fill="auto"/>
            <w:noWrap/>
            <w:vAlign w:val="center"/>
            <w:hideMark/>
          </w:tcPr>
          <w:p w14:paraId="59CFC07E"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123,45</w:t>
            </w:r>
          </w:p>
        </w:tc>
        <w:tc>
          <w:tcPr>
            <w:tcW w:w="992" w:type="dxa"/>
            <w:tcBorders>
              <w:top w:val="single" w:sz="8" w:space="0" w:color="auto"/>
              <w:left w:val="nil"/>
              <w:bottom w:val="single" w:sz="8" w:space="0" w:color="auto"/>
              <w:right w:val="nil"/>
            </w:tcBorders>
            <w:shd w:val="clear" w:color="auto" w:fill="auto"/>
            <w:noWrap/>
            <w:vAlign w:val="center"/>
            <w:hideMark/>
          </w:tcPr>
          <w:p w14:paraId="1218958A"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41,83</w:t>
            </w:r>
          </w:p>
        </w:tc>
      </w:tr>
      <w:tr w:rsidR="00D10805" w:rsidRPr="00A17B6F" w14:paraId="17CBD1D1" w14:textId="77777777" w:rsidTr="00D10805">
        <w:trPr>
          <w:trHeight w:val="300"/>
        </w:trPr>
        <w:tc>
          <w:tcPr>
            <w:tcW w:w="960" w:type="dxa"/>
            <w:tcBorders>
              <w:top w:val="nil"/>
              <w:left w:val="nil"/>
              <w:bottom w:val="nil"/>
              <w:right w:val="nil"/>
            </w:tcBorders>
            <w:shd w:val="clear" w:color="auto" w:fill="auto"/>
            <w:noWrap/>
            <w:vAlign w:val="center"/>
            <w:hideMark/>
          </w:tcPr>
          <w:p w14:paraId="749EA24F"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2.1.</w:t>
            </w:r>
          </w:p>
        </w:tc>
        <w:tc>
          <w:tcPr>
            <w:tcW w:w="2159" w:type="dxa"/>
            <w:tcBorders>
              <w:top w:val="nil"/>
              <w:left w:val="nil"/>
              <w:bottom w:val="nil"/>
              <w:right w:val="nil"/>
            </w:tcBorders>
            <w:shd w:val="clear" w:color="auto" w:fill="auto"/>
            <w:vAlign w:val="center"/>
            <w:hideMark/>
          </w:tcPr>
          <w:p w14:paraId="04C5B3D4"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Ukupni rashodi</w:t>
            </w:r>
          </w:p>
        </w:tc>
        <w:tc>
          <w:tcPr>
            <w:tcW w:w="1540" w:type="dxa"/>
            <w:tcBorders>
              <w:top w:val="nil"/>
              <w:left w:val="nil"/>
              <w:bottom w:val="nil"/>
              <w:right w:val="nil"/>
            </w:tcBorders>
            <w:shd w:val="clear" w:color="auto" w:fill="auto"/>
            <w:noWrap/>
            <w:vAlign w:val="center"/>
            <w:hideMark/>
          </w:tcPr>
          <w:p w14:paraId="2F907AB3"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99.505.003,69</w:t>
            </w:r>
          </w:p>
        </w:tc>
        <w:tc>
          <w:tcPr>
            <w:tcW w:w="1363" w:type="dxa"/>
            <w:tcBorders>
              <w:top w:val="nil"/>
              <w:left w:val="nil"/>
              <w:bottom w:val="nil"/>
              <w:right w:val="nil"/>
            </w:tcBorders>
            <w:shd w:val="clear" w:color="auto" w:fill="auto"/>
            <w:noWrap/>
            <w:vAlign w:val="center"/>
            <w:hideMark/>
          </w:tcPr>
          <w:p w14:paraId="54BFDEB9"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291.164.618,52</w:t>
            </w:r>
          </w:p>
        </w:tc>
        <w:tc>
          <w:tcPr>
            <w:tcW w:w="1540" w:type="dxa"/>
            <w:tcBorders>
              <w:top w:val="nil"/>
              <w:left w:val="nil"/>
              <w:bottom w:val="nil"/>
              <w:right w:val="nil"/>
            </w:tcBorders>
            <w:shd w:val="clear" w:color="auto" w:fill="auto"/>
            <w:noWrap/>
            <w:vAlign w:val="center"/>
            <w:hideMark/>
          </w:tcPr>
          <w:p w14:paraId="5FD033CD"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291.164.618,52</w:t>
            </w:r>
          </w:p>
        </w:tc>
        <w:tc>
          <w:tcPr>
            <w:tcW w:w="1363" w:type="dxa"/>
            <w:tcBorders>
              <w:top w:val="nil"/>
              <w:left w:val="nil"/>
              <w:bottom w:val="nil"/>
              <w:right w:val="nil"/>
            </w:tcBorders>
            <w:shd w:val="clear" w:color="auto" w:fill="auto"/>
            <w:noWrap/>
            <w:vAlign w:val="center"/>
            <w:hideMark/>
          </w:tcPr>
          <w:p w14:paraId="51601C15"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120.339.637,88</w:t>
            </w:r>
          </w:p>
        </w:tc>
        <w:tc>
          <w:tcPr>
            <w:tcW w:w="992" w:type="dxa"/>
            <w:tcBorders>
              <w:top w:val="nil"/>
              <w:left w:val="nil"/>
              <w:bottom w:val="nil"/>
              <w:right w:val="nil"/>
            </w:tcBorders>
            <w:shd w:val="clear" w:color="auto" w:fill="auto"/>
            <w:noWrap/>
            <w:vAlign w:val="center"/>
            <w:hideMark/>
          </w:tcPr>
          <w:p w14:paraId="6F223EF2"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120,94</w:t>
            </w:r>
          </w:p>
        </w:tc>
        <w:tc>
          <w:tcPr>
            <w:tcW w:w="992" w:type="dxa"/>
            <w:tcBorders>
              <w:top w:val="nil"/>
              <w:left w:val="nil"/>
              <w:bottom w:val="nil"/>
              <w:right w:val="nil"/>
            </w:tcBorders>
            <w:shd w:val="clear" w:color="auto" w:fill="auto"/>
            <w:noWrap/>
            <w:vAlign w:val="center"/>
            <w:hideMark/>
          </w:tcPr>
          <w:p w14:paraId="0FD5CAA5"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41,33</w:t>
            </w:r>
          </w:p>
        </w:tc>
      </w:tr>
      <w:tr w:rsidR="00D10805" w:rsidRPr="00A17B6F" w14:paraId="04BE3CF6" w14:textId="77777777" w:rsidTr="00D10805">
        <w:trPr>
          <w:trHeight w:val="300"/>
        </w:trPr>
        <w:tc>
          <w:tcPr>
            <w:tcW w:w="960" w:type="dxa"/>
            <w:tcBorders>
              <w:top w:val="nil"/>
              <w:left w:val="nil"/>
              <w:bottom w:val="nil"/>
              <w:right w:val="nil"/>
            </w:tcBorders>
            <w:shd w:val="clear" w:color="auto" w:fill="auto"/>
            <w:noWrap/>
            <w:vAlign w:val="center"/>
            <w:hideMark/>
          </w:tcPr>
          <w:p w14:paraId="013D0969" w14:textId="77777777" w:rsidR="00D10805" w:rsidRPr="00A17B6F" w:rsidRDefault="00D10805" w:rsidP="00D10805">
            <w:pPr>
              <w:spacing w:after="0" w:line="240" w:lineRule="auto"/>
              <w:jc w:val="center"/>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2.1.1.</w:t>
            </w:r>
          </w:p>
        </w:tc>
        <w:tc>
          <w:tcPr>
            <w:tcW w:w="2159" w:type="dxa"/>
            <w:tcBorders>
              <w:top w:val="nil"/>
              <w:left w:val="nil"/>
              <w:bottom w:val="nil"/>
              <w:right w:val="nil"/>
            </w:tcBorders>
            <w:shd w:val="clear" w:color="auto" w:fill="auto"/>
            <w:vAlign w:val="center"/>
            <w:hideMark/>
          </w:tcPr>
          <w:p w14:paraId="1D9EA364" w14:textId="77777777" w:rsidR="00D10805" w:rsidRPr="00A17B6F" w:rsidRDefault="00D10805" w:rsidP="00D10805">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Rashodi poslovanja</w:t>
            </w:r>
          </w:p>
        </w:tc>
        <w:tc>
          <w:tcPr>
            <w:tcW w:w="1540" w:type="dxa"/>
            <w:tcBorders>
              <w:top w:val="nil"/>
              <w:left w:val="nil"/>
              <w:bottom w:val="nil"/>
              <w:right w:val="nil"/>
            </w:tcBorders>
            <w:shd w:val="clear" w:color="auto" w:fill="auto"/>
            <w:noWrap/>
            <w:vAlign w:val="center"/>
            <w:hideMark/>
          </w:tcPr>
          <w:p w14:paraId="69EEE72D"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96.122.701,37</w:t>
            </w:r>
          </w:p>
        </w:tc>
        <w:tc>
          <w:tcPr>
            <w:tcW w:w="1363" w:type="dxa"/>
            <w:tcBorders>
              <w:top w:val="nil"/>
              <w:left w:val="nil"/>
              <w:bottom w:val="nil"/>
              <w:right w:val="nil"/>
            </w:tcBorders>
            <w:shd w:val="clear" w:color="auto" w:fill="auto"/>
            <w:noWrap/>
            <w:vAlign w:val="center"/>
            <w:hideMark/>
          </w:tcPr>
          <w:p w14:paraId="0D27A95E"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264.475.109,05</w:t>
            </w:r>
          </w:p>
        </w:tc>
        <w:tc>
          <w:tcPr>
            <w:tcW w:w="1540" w:type="dxa"/>
            <w:tcBorders>
              <w:top w:val="nil"/>
              <w:left w:val="nil"/>
              <w:bottom w:val="nil"/>
              <w:right w:val="nil"/>
            </w:tcBorders>
            <w:shd w:val="clear" w:color="auto" w:fill="auto"/>
            <w:noWrap/>
            <w:vAlign w:val="center"/>
            <w:hideMark/>
          </w:tcPr>
          <w:p w14:paraId="45992841"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264.475.109,05</w:t>
            </w:r>
          </w:p>
        </w:tc>
        <w:tc>
          <w:tcPr>
            <w:tcW w:w="1363" w:type="dxa"/>
            <w:tcBorders>
              <w:top w:val="nil"/>
              <w:left w:val="nil"/>
              <w:bottom w:val="nil"/>
              <w:right w:val="nil"/>
            </w:tcBorders>
            <w:shd w:val="clear" w:color="auto" w:fill="auto"/>
            <w:noWrap/>
            <w:vAlign w:val="center"/>
            <w:hideMark/>
          </w:tcPr>
          <w:p w14:paraId="1FAA2CCB"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118.683.754,37</w:t>
            </w:r>
          </w:p>
        </w:tc>
        <w:tc>
          <w:tcPr>
            <w:tcW w:w="992" w:type="dxa"/>
            <w:tcBorders>
              <w:top w:val="nil"/>
              <w:left w:val="nil"/>
              <w:bottom w:val="nil"/>
              <w:right w:val="nil"/>
            </w:tcBorders>
            <w:shd w:val="clear" w:color="auto" w:fill="auto"/>
            <w:noWrap/>
            <w:vAlign w:val="center"/>
            <w:hideMark/>
          </w:tcPr>
          <w:p w14:paraId="5E851FCA"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123,47</w:t>
            </w:r>
          </w:p>
        </w:tc>
        <w:tc>
          <w:tcPr>
            <w:tcW w:w="992" w:type="dxa"/>
            <w:tcBorders>
              <w:top w:val="nil"/>
              <w:left w:val="nil"/>
              <w:bottom w:val="nil"/>
              <w:right w:val="nil"/>
            </w:tcBorders>
            <w:shd w:val="clear" w:color="auto" w:fill="auto"/>
            <w:noWrap/>
            <w:vAlign w:val="center"/>
            <w:hideMark/>
          </w:tcPr>
          <w:p w14:paraId="3421837E"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44,88</w:t>
            </w:r>
          </w:p>
        </w:tc>
      </w:tr>
      <w:tr w:rsidR="00D10805" w:rsidRPr="00A17B6F" w14:paraId="7FC35E24" w14:textId="77777777" w:rsidTr="00D10805">
        <w:trPr>
          <w:trHeight w:val="480"/>
        </w:trPr>
        <w:tc>
          <w:tcPr>
            <w:tcW w:w="960" w:type="dxa"/>
            <w:tcBorders>
              <w:top w:val="nil"/>
              <w:left w:val="nil"/>
              <w:bottom w:val="nil"/>
              <w:right w:val="nil"/>
            </w:tcBorders>
            <w:shd w:val="clear" w:color="auto" w:fill="auto"/>
            <w:noWrap/>
            <w:vAlign w:val="center"/>
            <w:hideMark/>
          </w:tcPr>
          <w:p w14:paraId="11356816" w14:textId="77777777" w:rsidR="00D10805" w:rsidRPr="00A17B6F" w:rsidRDefault="00D10805" w:rsidP="00D10805">
            <w:pPr>
              <w:spacing w:after="0" w:line="240" w:lineRule="auto"/>
              <w:jc w:val="center"/>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2.1.2.</w:t>
            </w:r>
          </w:p>
        </w:tc>
        <w:tc>
          <w:tcPr>
            <w:tcW w:w="2159" w:type="dxa"/>
            <w:tcBorders>
              <w:top w:val="nil"/>
              <w:left w:val="nil"/>
              <w:bottom w:val="nil"/>
              <w:right w:val="nil"/>
            </w:tcBorders>
            <w:shd w:val="clear" w:color="auto" w:fill="auto"/>
            <w:vAlign w:val="center"/>
            <w:hideMark/>
          </w:tcPr>
          <w:p w14:paraId="48E6C8BE" w14:textId="77777777" w:rsidR="00D10805" w:rsidRPr="00A17B6F" w:rsidRDefault="00D10805" w:rsidP="00D10805">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Rashodi za nabavu nefinancijske imovine</w:t>
            </w:r>
          </w:p>
        </w:tc>
        <w:tc>
          <w:tcPr>
            <w:tcW w:w="1540" w:type="dxa"/>
            <w:tcBorders>
              <w:top w:val="nil"/>
              <w:left w:val="nil"/>
              <w:bottom w:val="nil"/>
              <w:right w:val="nil"/>
            </w:tcBorders>
            <w:shd w:val="clear" w:color="auto" w:fill="auto"/>
            <w:noWrap/>
            <w:vAlign w:val="center"/>
            <w:hideMark/>
          </w:tcPr>
          <w:p w14:paraId="58AFF611"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3.382.302,32</w:t>
            </w:r>
          </w:p>
        </w:tc>
        <w:tc>
          <w:tcPr>
            <w:tcW w:w="1363" w:type="dxa"/>
            <w:tcBorders>
              <w:top w:val="nil"/>
              <w:left w:val="nil"/>
              <w:bottom w:val="nil"/>
              <w:right w:val="nil"/>
            </w:tcBorders>
            <w:shd w:val="clear" w:color="auto" w:fill="auto"/>
            <w:noWrap/>
            <w:vAlign w:val="center"/>
            <w:hideMark/>
          </w:tcPr>
          <w:p w14:paraId="717FCA3B"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26.689.509,47</w:t>
            </w:r>
          </w:p>
        </w:tc>
        <w:tc>
          <w:tcPr>
            <w:tcW w:w="1540" w:type="dxa"/>
            <w:tcBorders>
              <w:top w:val="nil"/>
              <w:left w:val="nil"/>
              <w:bottom w:val="nil"/>
              <w:right w:val="nil"/>
            </w:tcBorders>
            <w:shd w:val="clear" w:color="auto" w:fill="auto"/>
            <w:noWrap/>
            <w:vAlign w:val="center"/>
            <w:hideMark/>
          </w:tcPr>
          <w:p w14:paraId="4E7E3464"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26.689.509,47</w:t>
            </w:r>
          </w:p>
        </w:tc>
        <w:tc>
          <w:tcPr>
            <w:tcW w:w="1363" w:type="dxa"/>
            <w:tcBorders>
              <w:top w:val="nil"/>
              <w:left w:val="nil"/>
              <w:bottom w:val="nil"/>
              <w:right w:val="nil"/>
            </w:tcBorders>
            <w:shd w:val="clear" w:color="auto" w:fill="auto"/>
            <w:noWrap/>
            <w:vAlign w:val="center"/>
            <w:hideMark/>
          </w:tcPr>
          <w:p w14:paraId="5AACBD03"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1.655.883,51</w:t>
            </w:r>
          </w:p>
        </w:tc>
        <w:tc>
          <w:tcPr>
            <w:tcW w:w="992" w:type="dxa"/>
            <w:tcBorders>
              <w:top w:val="nil"/>
              <w:left w:val="nil"/>
              <w:bottom w:val="nil"/>
              <w:right w:val="nil"/>
            </w:tcBorders>
            <w:shd w:val="clear" w:color="auto" w:fill="auto"/>
            <w:noWrap/>
            <w:vAlign w:val="center"/>
            <w:hideMark/>
          </w:tcPr>
          <w:p w14:paraId="2FDC1061"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48,96</w:t>
            </w:r>
          </w:p>
        </w:tc>
        <w:tc>
          <w:tcPr>
            <w:tcW w:w="992" w:type="dxa"/>
            <w:tcBorders>
              <w:top w:val="nil"/>
              <w:left w:val="nil"/>
              <w:bottom w:val="nil"/>
              <w:right w:val="nil"/>
            </w:tcBorders>
            <w:shd w:val="clear" w:color="auto" w:fill="auto"/>
            <w:noWrap/>
            <w:vAlign w:val="center"/>
            <w:hideMark/>
          </w:tcPr>
          <w:p w14:paraId="286D2F7C" w14:textId="77777777" w:rsidR="00D10805" w:rsidRPr="00A17B6F" w:rsidRDefault="00D10805" w:rsidP="00D10805">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6,20</w:t>
            </w:r>
          </w:p>
        </w:tc>
      </w:tr>
      <w:tr w:rsidR="00D10805" w:rsidRPr="00A17B6F" w14:paraId="2A3836AB" w14:textId="77777777" w:rsidTr="00D10805">
        <w:trPr>
          <w:trHeight w:val="495"/>
        </w:trPr>
        <w:tc>
          <w:tcPr>
            <w:tcW w:w="960" w:type="dxa"/>
            <w:tcBorders>
              <w:top w:val="nil"/>
              <w:left w:val="nil"/>
              <w:bottom w:val="nil"/>
              <w:right w:val="nil"/>
            </w:tcBorders>
            <w:shd w:val="clear" w:color="auto" w:fill="auto"/>
            <w:noWrap/>
            <w:vAlign w:val="center"/>
            <w:hideMark/>
          </w:tcPr>
          <w:p w14:paraId="04FF90D4"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2.2.</w:t>
            </w:r>
          </w:p>
        </w:tc>
        <w:tc>
          <w:tcPr>
            <w:tcW w:w="2159" w:type="dxa"/>
            <w:tcBorders>
              <w:top w:val="nil"/>
              <w:left w:val="nil"/>
              <w:bottom w:val="nil"/>
              <w:right w:val="nil"/>
            </w:tcBorders>
            <w:shd w:val="clear" w:color="auto" w:fill="auto"/>
            <w:vAlign w:val="center"/>
            <w:hideMark/>
          </w:tcPr>
          <w:p w14:paraId="5B63D155"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Izdaci za financijsku imovinu i otplatu zajmova</w:t>
            </w:r>
          </w:p>
        </w:tc>
        <w:tc>
          <w:tcPr>
            <w:tcW w:w="1540" w:type="dxa"/>
            <w:tcBorders>
              <w:top w:val="nil"/>
              <w:left w:val="nil"/>
              <w:bottom w:val="nil"/>
              <w:right w:val="nil"/>
            </w:tcBorders>
            <w:shd w:val="clear" w:color="auto" w:fill="auto"/>
            <w:noWrap/>
            <w:vAlign w:val="center"/>
            <w:hideMark/>
          </w:tcPr>
          <w:p w14:paraId="1F628C30"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448.191,65</w:t>
            </w:r>
          </w:p>
        </w:tc>
        <w:tc>
          <w:tcPr>
            <w:tcW w:w="1363" w:type="dxa"/>
            <w:tcBorders>
              <w:top w:val="nil"/>
              <w:left w:val="nil"/>
              <w:bottom w:val="nil"/>
              <w:right w:val="nil"/>
            </w:tcBorders>
            <w:shd w:val="clear" w:color="auto" w:fill="auto"/>
            <w:noWrap/>
            <w:vAlign w:val="center"/>
            <w:hideMark/>
          </w:tcPr>
          <w:p w14:paraId="22A8CCE7"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3.825.381,48</w:t>
            </w:r>
          </w:p>
        </w:tc>
        <w:tc>
          <w:tcPr>
            <w:tcW w:w="1540" w:type="dxa"/>
            <w:tcBorders>
              <w:top w:val="nil"/>
              <w:left w:val="nil"/>
              <w:bottom w:val="nil"/>
              <w:right w:val="nil"/>
            </w:tcBorders>
            <w:shd w:val="clear" w:color="auto" w:fill="auto"/>
            <w:noWrap/>
            <w:vAlign w:val="center"/>
            <w:hideMark/>
          </w:tcPr>
          <w:p w14:paraId="40C98DFD"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3.825.381,48</w:t>
            </w:r>
          </w:p>
        </w:tc>
        <w:tc>
          <w:tcPr>
            <w:tcW w:w="1363" w:type="dxa"/>
            <w:tcBorders>
              <w:top w:val="nil"/>
              <w:left w:val="nil"/>
              <w:bottom w:val="nil"/>
              <w:right w:val="nil"/>
            </w:tcBorders>
            <w:shd w:val="clear" w:color="auto" w:fill="auto"/>
            <w:noWrap/>
            <w:vAlign w:val="center"/>
            <w:hideMark/>
          </w:tcPr>
          <w:p w14:paraId="0F58F51C"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3.053.657,64</w:t>
            </w:r>
          </w:p>
        </w:tc>
        <w:tc>
          <w:tcPr>
            <w:tcW w:w="992" w:type="dxa"/>
            <w:tcBorders>
              <w:top w:val="nil"/>
              <w:left w:val="nil"/>
              <w:bottom w:val="nil"/>
              <w:right w:val="nil"/>
            </w:tcBorders>
            <w:shd w:val="clear" w:color="auto" w:fill="auto"/>
            <w:noWrap/>
            <w:vAlign w:val="center"/>
            <w:hideMark/>
          </w:tcPr>
          <w:p w14:paraId="62BFF09C"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681,33</w:t>
            </w:r>
          </w:p>
        </w:tc>
        <w:tc>
          <w:tcPr>
            <w:tcW w:w="992" w:type="dxa"/>
            <w:tcBorders>
              <w:top w:val="nil"/>
              <w:left w:val="nil"/>
              <w:bottom w:val="nil"/>
              <w:right w:val="nil"/>
            </w:tcBorders>
            <w:shd w:val="clear" w:color="auto" w:fill="auto"/>
            <w:noWrap/>
            <w:vAlign w:val="center"/>
            <w:hideMark/>
          </w:tcPr>
          <w:p w14:paraId="787E8EC6"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79,83</w:t>
            </w:r>
          </w:p>
        </w:tc>
      </w:tr>
      <w:tr w:rsidR="00D10805" w:rsidRPr="00A17B6F" w14:paraId="78304601" w14:textId="77777777" w:rsidTr="00D10805">
        <w:trPr>
          <w:trHeight w:val="495"/>
        </w:trPr>
        <w:tc>
          <w:tcPr>
            <w:tcW w:w="960" w:type="dxa"/>
            <w:tcBorders>
              <w:top w:val="single" w:sz="8" w:space="0" w:color="auto"/>
              <w:left w:val="nil"/>
              <w:bottom w:val="single" w:sz="8" w:space="0" w:color="auto"/>
              <w:right w:val="nil"/>
            </w:tcBorders>
            <w:shd w:val="clear" w:color="auto" w:fill="auto"/>
            <w:noWrap/>
            <w:vAlign w:val="center"/>
            <w:hideMark/>
          </w:tcPr>
          <w:p w14:paraId="499617F6"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3.</w:t>
            </w:r>
          </w:p>
        </w:tc>
        <w:tc>
          <w:tcPr>
            <w:tcW w:w="2159" w:type="dxa"/>
            <w:tcBorders>
              <w:top w:val="single" w:sz="8" w:space="0" w:color="auto"/>
              <w:left w:val="nil"/>
              <w:bottom w:val="single" w:sz="8" w:space="0" w:color="auto"/>
              <w:right w:val="nil"/>
            </w:tcBorders>
            <w:shd w:val="clear" w:color="auto" w:fill="auto"/>
            <w:vAlign w:val="center"/>
            <w:hideMark/>
          </w:tcPr>
          <w:p w14:paraId="1E220A0B"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NETO PRENESENA SREDSTVA IZ PRETHODNE GODINE</w:t>
            </w:r>
          </w:p>
        </w:tc>
        <w:tc>
          <w:tcPr>
            <w:tcW w:w="1540" w:type="dxa"/>
            <w:tcBorders>
              <w:top w:val="single" w:sz="8" w:space="0" w:color="auto"/>
              <w:left w:val="nil"/>
              <w:bottom w:val="single" w:sz="8" w:space="0" w:color="auto"/>
              <w:right w:val="nil"/>
            </w:tcBorders>
            <w:shd w:val="clear" w:color="auto" w:fill="auto"/>
            <w:noWrap/>
            <w:vAlign w:val="center"/>
            <w:hideMark/>
          </w:tcPr>
          <w:p w14:paraId="1AE7FB06"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16.859.838,34</w:t>
            </w:r>
          </w:p>
        </w:tc>
        <w:tc>
          <w:tcPr>
            <w:tcW w:w="1363" w:type="dxa"/>
            <w:tcBorders>
              <w:top w:val="single" w:sz="8" w:space="0" w:color="auto"/>
              <w:left w:val="nil"/>
              <w:bottom w:val="single" w:sz="8" w:space="0" w:color="auto"/>
              <w:right w:val="nil"/>
            </w:tcBorders>
            <w:shd w:val="clear" w:color="auto" w:fill="auto"/>
            <w:noWrap/>
            <w:vAlign w:val="center"/>
            <w:hideMark/>
          </w:tcPr>
          <w:p w14:paraId="5095E367"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11.629.377,81</w:t>
            </w:r>
          </w:p>
        </w:tc>
        <w:tc>
          <w:tcPr>
            <w:tcW w:w="1540" w:type="dxa"/>
            <w:tcBorders>
              <w:top w:val="single" w:sz="8" w:space="0" w:color="auto"/>
              <w:left w:val="nil"/>
              <w:bottom w:val="single" w:sz="8" w:space="0" w:color="auto"/>
              <w:right w:val="nil"/>
            </w:tcBorders>
            <w:shd w:val="clear" w:color="auto" w:fill="auto"/>
            <w:noWrap/>
            <w:vAlign w:val="center"/>
            <w:hideMark/>
          </w:tcPr>
          <w:p w14:paraId="2141D889"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11.629.377,81</w:t>
            </w:r>
          </w:p>
        </w:tc>
        <w:tc>
          <w:tcPr>
            <w:tcW w:w="1363" w:type="dxa"/>
            <w:tcBorders>
              <w:top w:val="single" w:sz="8" w:space="0" w:color="auto"/>
              <w:left w:val="nil"/>
              <w:bottom w:val="single" w:sz="8" w:space="0" w:color="auto"/>
              <w:right w:val="nil"/>
            </w:tcBorders>
            <w:shd w:val="clear" w:color="auto" w:fill="auto"/>
            <w:noWrap/>
            <w:vAlign w:val="center"/>
            <w:hideMark/>
          </w:tcPr>
          <w:p w14:paraId="761CCBBE"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11.629.377,81</w:t>
            </w:r>
          </w:p>
        </w:tc>
        <w:tc>
          <w:tcPr>
            <w:tcW w:w="992" w:type="dxa"/>
            <w:tcBorders>
              <w:top w:val="single" w:sz="8" w:space="0" w:color="auto"/>
              <w:left w:val="nil"/>
              <w:bottom w:val="single" w:sz="8" w:space="0" w:color="auto"/>
              <w:right w:val="nil"/>
            </w:tcBorders>
            <w:shd w:val="clear" w:color="auto" w:fill="auto"/>
            <w:noWrap/>
            <w:vAlign w:val="center"/>
            <w:hideMark/>
          </w:tcPr>
          <w:p w14:paraId="49C13F45"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68,98</w:t>
            </w:r>
          </w:p>
        </w:tc>
        <w:tc>
          <w:tcPr>
            <w:tcW w:w="992" w:type="dxa"/>
            <w:tcBorders>
              <w:top w:val="single" w:sz="8" w:space="0" w:color="auto"/>
              <w:left w:val="nil"/>
              <w:bottom w:val="single" w:sz="8" w:space="0" w:color="auto"/>
              <w:right w:val="nil"/>
            </w:tcBorders>
            <w:shd w:val="clear" w:color="auto" w:fill="auto"/>
            <w:noWrap/>
            <w:vAlign w:val="center"/>
            <w:hideMark/>
          </w:tcPr>
          <w:p w14:paraId="15A50EAA"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100,00</w:t>
            </w:r>
          </w:p>
        </w:tc>
      </w:tr>
      <w:tr w:rsidR="00D10805" w:rsidRPr="00A17B6F" w14:paraId="2717C3CB" w14:textId="77777777" w:rsidTr="00D10805">
        <w:trPr>
          <w:trHeight w:val="480"/>
        </w:trPr>
        <w:tc>
          <w:tcPr>
            <w:tcW w:w="960" w:type="dxa"/>
            <w:tcBorders>
              <w:top w:val="nil"/>
              <w:left w:val="nil"/>
              <w:bottom w:val="nil"/>
              <w:right w:val="nil"/>
            </w:tcBorders>
            <w:shd w:val="clear" w:color="auto" w:fill="auto"/>
            <w:noWrap/>
            <w:vAlign w:val="center"/>
            <w:hideMark/>
          </w:tcPr>
          <w:p w14:paraId="6EFA81AE"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lastRenderedPageBreak/>
              <w:t>3.1.</w:t>
            </w:r>
          </w:p>
        </w:tc>
        <w:tc>
          <w:tcPr>
            <w:tcW w:w="2159" w:type="dxa"/>
            <w:tcBorders>
              <w:top w:val="nil"/>
              <w:left w:val="nil"/>
              <w:bottom w:val="nil"/>
              <w:right w:val="nil"/>
            </w:tcBorders>
            <w:shd w:val="clear" w:color="auto" w:fill="auto"/>
            <w:vAlign w:val="center"/>
            <w:hideMark/>
          </w:tcPr>
          <w:p w14:paraId="1B4DF104"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Preneseni višak iz prethodne godine - Županija </w:t>
            </w:r>
          </w:p>
        </w:tc>
        <w:tc>
          <w:tcPr>
            <w:tcW w:w="1540" w:type="dxa"/>
            <w:tcBorders>
              <w:top w:val="nil"/>
              <w:left w:val="nil"/>
              <w:bottom w:val="nil"/>
              <w:right w:val="nil"/>
            </w:tcBorders>
            <w:shd w:val="clear" w:color="auto" w:fill="auto"/>
            <w:noWrap/>
            <w:vAlign w:val="center"/>
            <w:hideMark/>
          </w:tcPr>
          <w:p w14:paraId="1823E339"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7.298.780,09</w:t>
            </w:r>
          </w:p>
        </w:tc>
        <w:tc>
          <w:tcPr>
            <w:tcW w:w="1363" w:type="dxa"/>
            <w:tcBorders>
              <w:top w:val="nil"/>
              <w:left w:val="nil"/>
              <w:bottom w:val="nil"/>
              <w:right w:val="nil"/>
            </w:tcBorders>
            <w:shd w:val="clear" w:color="auto" w:fill="auto"/>
            <w:noWrap/>
            <w:vAlign w:val="center"/>
            <w:hideMark/>
          </w:tcPr>
          <w:p w14:paraId="33D0C119"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10.516.131,02</w:t>
            </w:r>
          </w:p>
        </w:tc>
        <w:tc>
          <w:tcPr>
            <w:tcW w:w="1540" w:type="dxa"/>
            <w:tcBorders>
              <w:top w:val="nil"/>
              <w:left w:val="nil"/>
              <w:bottom w:val="nil"/>
              <w:right w:val="nil"/>
            </w:tcBorders>
            <w:shd w:val="clear" w:color="auto" w:fill="auto"/>
            <w:noWrap/>
            <w:vAlign w:val="center"/>
            <w:hideMark/>
          </w:tcPr>
          <w:p w14:paraId="6A8CA92E"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10.516.131,02</w:t>
            </w:r>
          </w:p>
        </w:tc>
        <w:tc>
          <w:tcPr>
            <w:tcW w:w="1363" w:type="dxa"/>
            <w:tcBorders>
              <w:top w:val="nil"/>
              <w:left w:val="nil"/>
              <w:bottom w:val="nil"/>
              <w:right w:val="nil"/>
            </w:tcBorders>
            <w:shd w:val="clear" w:color="auto" w:fill="auto"/>
            <w:noWrap/>
            <w:vAlign w:val="center"/>
            <w:hideMark/>
          </w:tcPr>
          <w:p w14:paraId="31434665"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10.516.131,02</w:t>
            </w:r>
          </w:p>
        </w:tc>
        <w:tc>
          <w:tcPr>
            <w:tcW w:w="992" w:type="dxa"/>
            <w:tcBorders>
              <w:top w:val="nil"/>
              <w:left w:val="nil"/>
              <w:bottom w:val="nil"/>
              <w:right w:val="nil"/>
            </w:tcBorders>
            <w:shd w:val="clear" w:color="auto" w:fill="auto"/>
            <w:noWrap/>
            <w:vAlign w:val="center"/>
            <w:hideMark/>
          </w:tcPr>
          <w:p w14:paraId="7CF04DC1"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144,08</w:t>
            </w:r>
          </w:p>
        </w:tc>
        <w:tc>
          <w:tcPr>
            <w:tcW w:w="992" w:type="dxa"/>
            <w:tcBorders>
              <w:top w:val="nil"/>
              <w:left w:val="nil"/>
              <w:bottom w:val="nil"/>
              <w:right w:val="nil"/>
            </w:tcBorders>
            <w:shd w:val="clear" w:color="auto" w:fill="auto"/>
            <w:noWrap/>
            <w:vAlign w:val="center"/>
            <w:hideMark/>
          </w:tcPr>
          <w:p w14:paraId="29E3E6BE"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100,00</w:t>
            </w:r>
          </w:p>
        </w:tc>
      </w:tr>
      <w:tr w:rsidR="00D10805" w:rsidRPr="00A17B6F" w14:paraId="2408477F" w14:textId="77777777" w:rsidTr="00D10805">
        <w:trPr>
          <w:trHeight w:val="480"/>
        </w:trPr>
        <w:tc>
          <w:tcPr>
            <w:tcW w:w="960" w:type="dxa"/>
            <w:tcBorders>
              <w:top w:val="nil"/>
              <w:left w:val="nil"/>
              <w:bottom w:val="nil"/>
              <w:right w:val="nil"/>
            </w:tcBorders>
            <w:shd w:val="clear" w:color="auto" w:fill="auto"/>
            <w:noWrap/>
            <w:vAlign w:val="center"/>
            <w:hideMark/>
          </w:tcPr>
          <w:p w14:paraId="55BF0222"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3.2.</w:t>
            </w:r>
          </w:p>
        </w:tc>
        <w:tc>
          <w:tcPr>
            <w:tcW w:w="2159" w:type="dxa"/>
            <w:tcBorders>
              <w:top w:val="nil"/>
              <w:left w:val="nil"/>
              <w:bottom w:val="nil"/>
              <w:right w:val="nil"/>
            </w:tcBorders>
            <w:shd w:val="clear" w:color="auto" w:fill="auto"/>
            <w:vAlign w:val="center"/>
            <w:hideMark/>
          </w:tcPr>
          <w:p w14:paraId="1BC1C5D2"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Preneseni manjak iz prethodne godine - Županija </w:t>
            </w:r>
          </w:p>
        </w:tc>
        <w:tc>
          <w:tcPr>
            <w:tcW w:w="1540" w:type="dxa"/>
            <w:tcBorders>
              <w:top w:val="nil"/>
              <w:left w:val="nil"/>
              <w:bottom w:val="nil"/>
              <w:right w:val="nil"/>
            </w:tcBorders>
            <w:shd w:val="clear" w:color="auto" w:fill="auto"/>
            <w:noWrap/>
            <w:vAlign w:val="center"/>
            <w:hideMark/>
          </w:tcPr>
          <w:p w14:paraId="73CEB93E"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107.932,45</w:t>
            </w:r>
          </w:p>
        </w:tc>
        <w:tc>
          <w:tcPr>
            <w:tcW w:w="1363" w:type="dxa"/>
            <w:tcBorders>
              <w:top w:val="nil"/>
              <w:left w:val="nil"/>
              <w:bottom w:val="nil"/>
              <w:right w:val="nil"/>
            </w:tcBorders>
            <w:shd w:val="clear" w:color="auto" w:fill="auto"/>
            <w:noWrap/>
            <w:vAlign w:val="center"/>
            <w:hideMark/>
          </w:tcPr>
          <w:p w14:paraId="5CA562F4"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136.544,22</w:t>
            </w:r>
          </w:p>
        </w:tc>
        <w:tc>
          <w:tcPr>
            <w:tcW w:w="1540" w:type="dxa"/>
            <w:tcBorders>
              <w:top w:val="nil"/>
              <w:left w:val="nil"/>
              <w:bottom w:val="nil"/>
              <w:right w:val="nil"/>
            </w:tcBorders>
            <w:shd w:val="clear" w:color="auto" w:fill="auto"/>
            <w:noWrap/>
            <w:vAlign w:val="center"/>
            <w:hideMark/>
          </w:tcPr>
          <w:p w14:paraId="4FD205FA"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136.544,22</w:t>
            </w:r>
          </w:p>
        </w:tc>
        <w:tc>
          <w:tcPr>
            <w:tcW w:w="1363" w:type="dxa"/>
            <w:tcBorders>
              <w:top w:val="nil"/>
              <w:left w:val="nil"/>
              <w:bottom w:val="nil"/>
              <w:right w:val="nil"/>
            </w:tcBorders>
            <w:shd w:val="clear" w:color="auto" w:fill="auto"/>
            <w:noWrap/>
            <w:vAlign w:val="center"/>
            <w:hideMark/>
          </w:tcPr>
          <w:p w14:paraId="473C31C5"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136.544,22</w:t>
            </w:r>
          </w:p>
        </w:tc>
        <w:tc>
          <w:tcPr>
            <w:tcW w:w="992" w:type="dxa"/>
            <w:tcBorders>
              <w:top w:val="nil"/>
              <w:left w:val="nil"/>
              <w:bottom w:val="nil"/>
              <w:right w:val="nil"/>
            </w:tcBorders>
            <w:shd w:val="clear" w:color="auto" w:fill="auto"/>
            <w:noWrap/>
            <w:vAlign w:val="center"/>
            <w:hideMark/>
          </w:tcPr>
          <w:p w14:paraId="6B4E2642"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126,51</w:t>
            </w:r>
          </w:p>
        </w:tc>
        <w:tc>
          <w:tcPr>
            <w:tcW w:w="992" w:type="dxa"/>
            <w:tcBorders>
              <w:top w:val="nil"/>
              <w:left w:val="nil"/>
              <w:bottom w:val="nil"/>
              <w:right w:val="nil"/>
            </w:tcBorders>
            <w:shd w:val="clear" w:color="auto" w:fill="auto"/>
            <w:noWrap/>
            <w:vAlign w:val="center"/>
            <w:hideMark/>
          </w:tcPr>
          <w:p w14:paraId="301EAE0F"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100,00</w:t>
            </w:r>
          </w:p>
        </w:tc>
      </w:tr>
      <w:tr w:rsidR="00D10805" w:rsidRPr="00A17B6F" w14:paraId="6D3CD8C4" w14:textId="77777777" w:rsidTr="00D10805">
        <w:trPr>
          <w:trHeight w:val="480"/>
        </w:trPr>
        <w:tc>
          <w:tcPr>
            <w:tcW w:w="960" w:type="dxa"/>
            <w:tcBorders>
              <w:top w:val="nil"/>
              <w:left w:val="nil"/>
              <w:bottom w:val="nil"/>
              <w:right w:val="nil"/>
            </w:tcBorders>
            <w:shd w:val="clear" w:color="auto" w:fill="auto"/>
            <w:noWrap/>
            <w:vAlign w:val="center"/>
            <w:hideMark/>
          </w:tcPr>
          <w:p w14:paraId="6CABA901"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3.3.</w:t>
            </w:r>
          </w:p>
        </w:tc>
        <w:tc>
          <w:tcPr>
            <w:tcW w:w="2159" w:type="dxa"/>
            <w:tcBorders>
              <w:top w:val="nil"/>
              <w:left w:val="nil"/>
              <w:bottom w:val="nil"/>
              <w:right w:val="nil"/>
            </w:tcBorders>
            <w:shd w:val="clear" w:color="auto" w:fill="auto"/>
            <w:vAlign w:val="center"/>
            <w:hideMark/>
          </w:tcPr>
          <w:p w14:paraId="107F6B5A"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Preneseni višak iz prethodne godine - proračunski korisnici </w:t>
            </w:r>
          </w:p>
        </w:tc>
        <w:tc>
          <w:tcPr>
            <w:tcW w:w="1540" w:type="dxa"/>
            <w:tcBorders>
              <w:top w:val="nil"/>
              <w:left w:val="nil"/>
              <w:bottom w:val="nil"/>
              <w:right w:val="nil"/>
            </w:tcBorders>
            <w:shd w:val="clear" w:color="auto" w:fill="auto"/>
            <w:noWrap/>
            <w:vAlign w:val="center"/>
            <w:hideMark/>
          </w:tcPr>
          <w:p w14:paraId="03460309"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11.796.789,59</w:t>
            </w:r>
          </w:p>
        </w:tc>
        <w:tc>
          <w:tcPr>
            <w:tcW w:w="1363" w:type="dxa"/>
            <w:tcBorders>
              <w:top w:val="nil"/>
              <w:left w:val="nil"/>
              <w:bottom w:val="nil"/>
              <w:right w:val="nil"/>
            </w:tcBorders>
            <w:shd w:val="clear" w:color="auto" w:fill="auto"/>
            <w:noWrap/>
            <w:vAlign w:val="center"/>
            <w:hideMark/>
          </w:tcPr>
          <w:p w14:paraId="2FEF319C"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9.053.978,15</w:t>
            </w:r>
          </w:p>
        </w:tc>
        <w:tc>
          <w:tcPr>
            <w:tcW w:w="1540" w:type="dxa"/>
            <w:tcBorders>
              <w:top w:val="nil"/>
              <w:left w:val="nil"/>
              <w:bottom w:val="nil"/>
              <w:right w:val="nil"/>
            </w:tcBorders>
            <w:shd w:val="clear" w:color="auto" w:fill="auto"/>
            <w:noWrap/>
            <w:vAlign w:val="center"/>
            <w:hideMark/>
          </w:tcPr>
          <w:p w14:paraId="064EF024"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9.053.978,15</w:t>
            </w:r>
          </w:p>
        </w:tc>
        <w:tc>
          <w:tcPr>
            <w:tcW w:w="1363" w:type="dxa"/>
            <w:tcBorders>
              <w:top w:val="nil"/>
              <w:left w:val="nil"/>
              <w:bottom w:val="nil"/>
              <w:right w:val="nil"/>
            </w:tcBorders>
            <w:shd w:val="clear" w:color="auto" w:fill="auto"/>
            <w:noWrap/>
            <w:vAlign w:val="center"/>
            <w:hideMark/>
          </w:tcPr>
          <w:p w14:paraId="1D5F3D9E"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9.053.978,15</w:t>
            </w:r>
          </w:p>
        </w:tc>
        <w:tc>
          <w:tcPr>
            <w:tcW w:w="992" w:type="dxa"/>
            <w:tcBorders>
              <w:top w:val="nil"/>
              <w:left w:val="nil"/>
              <w:bottom w:val="nil"/>
              <w:right w:val="nil"/>
            </w:tcBorders>
            <w:shd w:val="clear" w:color="auto" w:fill="auto"/>
            <w:noWrap/>
            <w:vAlign w:val="center"/>
            <w:hideMark/>
          </w:tcPr>
          <w:p w14:paraId="69CB9423"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76,75</w:t>
            </w:r>
          </w:p>
        </w:tc>
        <w:tc>
          <w:tcPr>
            <w:tcW w:w="992" w:type="dxa"/>
            <w:tcBorders>
              <w:top w:val="nil"/>
              <w:left w:val="nil"/>
              <w:bottom w:val="nil"/>
              <w:right w:val="nil"/>
            </w:tcBorders>
            <w:shd w:val="clear" w:color="auto" w:fill="auto"/>
            <w:noWrap/>
            <w:vAlign w:val="center"/>
            <w:hideMark/>
          </w:tcPr>
          <w:p w14:paraId="41FEF654"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100,00</w:t>
            </w:r>
          </w:p>
        </w:tc>
      </w:tr>
      <w:tr w:rsidR="00D10805" w:rsidRPr="00A17B6F" w14:paraId="47E5D21D" w14:textId="77777777" w:rsidTr="00D10805">
        <w:trPr>
          <w:trHeight w:val="495"/>
        </w:trPr>
        <w:tc>
          <w:tcPr>
            <w:tcW w:w="960" w:type="dxa"/>
            <w:tcBorders>
              <w:top w:val="nil"/>
              <w:left w:val="nil"/>
              <w:bottom w:val="single" w:sz="8" w:space="0" w:color="auto"/>
              <w:right w:val="nil"/>
            </w:tcBorders>
            <w:shd w:val="clear" w:color="auto" w:fill="auto"/>
            <w:noWrap/>
            <w:vAlign w:val="center"/>
            <w:hideMark/>
          </w:tcPr>
          <w:p w14:paraId="5254D8C1"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3.4.</w:t>
            </w:r>
          </w:p>
        </w:tc>
        <w:tc>
          <w:tcPr>
            <w:tcW w:w="2159" w:type="dxa"/>
            <w:tcBorders>
              <w:top w:val="nil"/>
              <w:left w:val="nil"/>
              <w:bottom w:val="single" w:sz="8" w:space="0" w:color="auto"/>
              <w:right w:val="nil"/>
            </w:tcBorders>
            <w:shd w:val="clear" w:color="auto" w:fill="auto"/>
            <w:vAlign w:val="center"/>
            <w:hideMark/>
          </w:tcPr>
          <w:p w14:paraId="1C0C4034"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Preneseni manjak iz prethodne godine - proračunski korisnici </w:t>
            </w:r>
          </w:p>
        </w:tc>
        <w:tc>
          <w:tcPr>
            <w:tcW w:w="1540" w:type="dxa"/>
            <w:tcBorders>
              <w:top w:val="nil"/>
              <w:left w:val="nil"/>
              <w:bottom w:val="nil"/>
              <w:right w:val="nil"/>
            </w:tcBorders>
            <w:shd w:val="clear" w:color="auto" w:fill="auto"/>
            <w:noWrap/>
            <w:vAlign w:val="center"/>
            <w:hideMark/>
          </w:tcPr>
          <w:p w14:paraId="1D07C76F"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2.127.798,89</w:t>
            </w:r>
          </w:p>
        </w:tc>
        <w:tc>
          <w:tcPr>
            <w:tcW w:w="1363" w:type="dxa"/>
            <w:tcBorders>
              <w:top w:val="nil"/>
              <w:left w:val="nil"/>
              <w:bottom w:val="nil"/>
              <w:right w:val="nil"/>
            </w:tcBorders>
            <w:shd w:val="clear" w:color="auto" w:fill="auto"/>
            <w:noWrap/>
            <w:vAlign w:val="center"/>
            <w:hideMark/>
          </w:tcPr>
          <w:p w14:paraId="4E7ABE2C"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7.804.187,14</w:t>
            </w:r>
          </w:p>
        </w:tc>
        <w:tc>
          <w:tcPr>
            <w:tcW w:w="1540" w:type="dxa"/>
            <w:tcBorders>
              <w:top w:val="nil"/>
              <w:left w:val="nil"/>
              <w:bottom w:val="nil"/>
              <w:right w:val="nil"/>
            </w:tcBorders>
            <w:shd w:val="clear" w:color="auto" w:fill="auto"/>
            <w:noWrap/>
            <w:vAlign w:val="center"/>
            <w:hideMark/>
          </w:tcPr>
          <w:p w14:paraId="55DE7773"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7.804.187,14</w:t>
            </w:r>
          </w:p>
        </w:tc>
        <w:tc>
          <w:tcPr>
            <w:tcW w:w="1363" w:type="dxa"/>
            <w:tcBorders>
              <w:top w:val="nil"/>
              <w:left w:val="nil"/>
              <w:bottom w:val="nil"/>
              <w:right w:val="nil"/>
            </w:tcBorders>
            <w:shd w:val="clear" w:color="auto" w:fill="auto"/>
            <w:noWrap/>
            <w:vAlign w:val="center"/>
            <w:hideMark/>
          </w:tcPr>
          <w:p w14:paraId="52994BF8"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7.804.187,14</w:t>
            </w:r>
          </w:p>
        </w:tc>
        <w:tc>
          <w:tcPr>
            <w:tcW w:w="992" w:type="dxa"/>
            <w:tcBorders>
              <w:top w:val="nil"/>
              <w:left w:val="nil"/>
              <w:bottom w:val="single" w:sz="8" w:space="0" w:color="auto"/>
              <w:right w:val="nil"/>
            </w:tcBorders>
            <w:shd w:val="clear" w:color="auto" w:fill="auto"/>
            <w:noWrap/>
            <w:vAlign w:val="center"/>
            <w:hideMark/>
          </w:tcPr>
          <w:p w14:paraId="5E045716"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366,77</w:t>
            </w:r>
          </w:p>
        </w:tc>
        <w:tc>
          <w:tcPr>
            <w:tcW w:w="992" w:type="dxa"/>
            <w:tcBorders>
              <w:top w:val="nil"/>
              <w:left w:val="nil"/>
              <w:bottom w:val="single" w:sz="8" w:space="0" w:color="auto"/>
              <w:right w:val="nil"/>
            </w:tcBorders>
            <w:shd w:val="clear" w:color="auto" w:fill="auto"/>
            <w:noWrap/>
            <w:vAlign w:val="center"/>
            <w:hideMark/>
          </w:tcPr>
          <w:p w14:paraId="678DD9B5"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100,00</w:t>
            </w:r>
          </w:p>
        </w:tc>
      </w:tr>
      <w:tr w:rsidR="00D10805" w:rsidRPr="00A17B6F" w14:paraId="7BE3DF1B" w14:textId="77777777" w:rsidTr="00D10805">
        <w:trPr>
          <w:trHeight w:val="315"/>
        </w:trPr>
        <w:tc>
          <w:tcPr>
            <w:tcW w:w="960" w:type="dxa"/>
            <w:tcBorders>
              <w:top w:val="nil"/>
              <w:left w:val="nil"/>
              <w:bottom w:val="single" w:sz="8" w:space="0" w:color="auto"/>
              <w:right w:val="nil"/>
            </w:tcBorders>
            <w:shd w:val="clear" w:color="000000" w:fill="D9D9D9"/>
            <w:noWrap/>
            <w:vAlign w:val="center"/>
            <w:hideMark/>
          </w:tcPr>
          <w:p w14:paraId="56BA88D0"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w:t>
            </w:r>
          </w:p>
        </w:tc>
        <w:tc>
          <w:tcPr>
            <w:tcW w:w="2159" w:type="dxa"/>
            <w:tcBorders>
              <w:top w:val="nil"/>
              <w:left w:val="nil"/>
              <w:bottom w:val="single" w:sz="8" w:space="0" w:color="auto"/>
              <w:right w:val="nil"/>
            </w:tcBorders>
            <w:shd w:val="clear" w:color="000000" w:fill="D9D9D9"/>
            <w:vAlign w:val="center"/>
            <w:hideMark/>
          </w:tcPr>
          <w:p w14:paraId="4D1F6B14"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VIŠAK / MANJAK PRIHODA</w:t>
            </w:r>
          </w:p>
        </w:tc>
        <w:tc>
          <w:tcPr>
            <w:tcW w:w="1540" w:type="dxa"/>
            <w:tcBorders>
              <w:top w:val="single" w:sz="8" w:space="0" w:color="auto"/>
              <w:left w:val="nil"/>
              <w:bottom w:val="single" w:sz="8" w:space="0" w:color="auto"/>
              <w:right w:val="nil"/>
            </w:tcBorders>
            <w:shd w:val="clear" w:color="000000" w:fill="D9D9D9"/>
            <w:noWrap/>
            <w:vAlign w:val="center"/>
            <w:hideMark/>
          </w:tcPr>
          <w:p w14:paraId="495BBE19"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19.217.667,08</w:t>
            </w:r>
          </w:p>
        </w:tc>
        <w:tc>
          <w:tcPr>
            <w:tcW w:w="1363" w:type="dxa"/>
            <w:tcBorders>
              <w:top w:val="single" w:sz="8" w:space="0" w:color="auto"/>
              <w:left w:val="nil"/>
              <w:bottom w:val="single" w:sz="8" w:space="0" w:color="auto"/>
              <w:right w:val="nil"/>
            </w:tcBorders>
            <w:shd w:val="clear" w:color="000000" w:fill="D9D9D9"/>
            <w:noWrap/>
            <w:vAlign w:val="center"/>
            <w:hideMark/>
          </w:tcPr>
          <w:p w14:paraId="5F98AB22"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0,00</w:t>
            </w:r>
          </w:p>
        </w:tc>
        <w:tc>
          <w:tcPr>
            <w:tcW w:w="1540" w:type="dxa"/>
            <w:tcBorders>
              <w:top w:val="single" w:sz="8" w:space="0" w:color="auto"/>
              <w:left w:val="nil"/>
              <w:bottom w:val="single" w:sz="8" w:space="0" w:color="auto"/>
              <w:right w:val="nil"/>
            </w:tcBorders>
            <w:shd w:val="clear" w:color="000000" w:fill="D9D9D9"/>
            <w:noWrap/>
            <w:vAlign w:val="center"/>
            <w:hideMark/>
          </w:tcPr>
          <w:p w14:paraId="7EEA2053"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0,00</w:t>
            </w:r>
          </w:p>
        </w:tc>
        <w:tc>
          <w:tcPr>
            <w:tcW w:w="1363" w:type="dxa"/>
            <w:tcBorders>
              <w:top w:val="single" w:sz="8" w:space="0" w:color="auto"/>
              <w:left w:val="nil"/>
              <w:bottom w:val="single" w:sz="8" w:space="0" w:color="auto"/>
              <w:right w:val="nil"/>
            </w:tcBorders>
            <w:shd w:val="clear" w:color="000000" w:fill="D9D9D9"/>
            <w:noWrap/>
            <w:vAlign w:val="center"/>
            <w:hideMark/>
          </w:tcPr>
          <w:p w14:paraId="76E6FC59"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21.545.563,62</w:t>
            </w:r>
          </w:p>
        </w:tc>
        <w:tc>
          <w:tcPr>
            <w:tcW w:w="992" w:type="dxa"/>
            <w:tcBorders>
              <w:top w:val="nil"/>
              <w:left w:val="nil"/>
              <w:bottom w:val="single" w:sz="8" w:space="0" w:color="auto"/>
              <w:right w:val="nil"/>
            </w:tcBorders>
            <w:shd w:val="clear" w:color="000000" w:fill="D9D9D9"/>
            <w:noWrap/>
            <w:vAlign w:val="center"/>
            <w:hideMark/>
          </w:tcPr>
          <w:p w14:paraId="166BC743"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112,11</w:t>
            </w:r>
          </w:p>
        </w:tc>
        <w:tc>
          <w:tcPr>
            <w:tcW w:w="992" w:type="dxa"/>
            <w:tcBorders>
              <w:top w:val="nil"/>
              <w:left w:val="nil"/>
              <w:bottom w:val="single" w:sz="8" w:space="0" w:color="auto"/>
              <w:right w:val="nil"/>
            </w:tcBorders>
            <w:shd w:val="clear" w:color="000000" w:fill="D9D9D9"/>
            <w:noWrap/>
            <w:vAlign w:val="center"/>
            <w:hideMark/>
          </w:tcPr>
          <w:p w14:paraId="3FC82297"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w:t>
            </w:r>
          </w:p>
        </w:tc>
      </w:tr>
      <w:tr w:rsidR="00D10805" w:rsidRPr="00A17B6F" w14:paraId="7C4952BF" w14:textId="77777777" w:rsidTr="00D10805">
        <w:trPr>
          <w:trHeight w:val="495"/>
        </w:trPr>
        <w:tc>
          <w:tcPr>
            <w:tcW w:w="960" w:type="dxa"/>
            <w:tcBorders>
              <w:top w:val="nil"/>
              <w:left w:val="nil"/>
              <w:bottom w:val="single" w:sz="8" w:space="0" w:color="auto"/>
              <w:right w:val="nil"/>
            </w:tcBorders>
            <w:shd w:val="clear" w:color="000000" w:fill="D9D9D9"/>
            <w:noWrap/>
            <w:vAlign w:val="center"/>
            <w:hideMark/>
          </w:tcPr>
          <w:p w14:paraId="6FF3105B"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4.1.</w:t>
            </w:r>
          </w:p>
        </w:tc>
        <w:tc>
          <w:tcPr>
            <w:tcW w:w="2159" w:type="dxa"/>
            <w:tcBorders>
              <w:top w:val="nil"/>
              <w:left w:val="nil"/>
              <w:bottom w:val="single" w:sz="8" w:space="0" w:color="auto"/>
              <w:right w:val="nil"/>
            </w:tcBorders>
            <w:shd w:val="clear" w:color="000000" w:fill="D9D9D9"/>
            <w:vAlign w:val="center"/>
            <w:hideMark/>
          </w:tcPr>
          <w:p w14:paraId="5AC77582"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OD ČEGA VIŠAK/MANJAK PRORAČUNA</w:t>
            </w:r>
          </w:p>
        </w:tc>
        <w:tc>
          <w:tcPr>
            <w:tcW w:w="1540" w:type="dxa"/>
            <w:tcBorders>
              <w:top w:val="nil"/>
              <w:left w:val="nil"/>
              <w:bottom w:val="single" w:sz="8" w:space="0" w:color="auto"/>
              <w:right w:val="nil"/>
            </w:tcBorders>
            <w:shd w:val="clear" w:color="000000" w:fill="D9D9D9"/>
            <w:noWrap/>
            <w:vAlign w:val="center"/>
            <w:hideMark/>
          </w:tcPr>
          <w:p w14:paraId="30F3DF35" w14:textId="77777777" w:rsidR="00D10805" w:rsidRPr="00A17B6F" w:rsidRDefault="00D10805" w:rsidP="00D10805">
            <w:pPr>
              <w:spacing w:after="0" w:line="240" w:lineRule="auto"/>
              <w:jc w:val="right"/>
              <w:rPr>
                <w:rFonts w:ascii="Calibri" w:eastAsia="Times New Roman" w:hAnsi="Calibri" w:cs="Calibri"/>
                <w:b/>
                <w:bCs/>
                <w:color w:val="494529"/>
                <w:sz w:val="18"/>
                <w:szCs w:val="18"/>
                <w:lang w:eastAsia="hr-HR"/>
              </w:rPr>
            </w:pPr>
            <w:r w:rsidRPr="00A17B6F">
              <w:rPr>
                <w:rFonts w:ascii="Calibri" w:eastAsia="Times New Roman" w:hAnsi="Calibri" w:cs="Calibri"/>
                <w:b/>
                <w:bCs/>
                <w:color w:val="494529"/>
                <w:sz w:val="18"/>
                <w:szCs w:val="18"/>
                <w:lang w:eastAsia="hr-HR"/>
              </w:rPr>
              <w:t>14.270.346,35</w:t>
            </w:r>
          </w:p>
        </w:tc>
        <w:tc>
          <w:tcPr>
            <w:tcW w:w="1363" w:type="dxa"/>
            <w:tcBorders>
              <w:top w:val="nil"/>
              <w:left w:val="nil"/>
              <w:bottom w:val="single" w:sz="8" w:space="0" w:color="auto"/>
              <w:right w:val="nil"/>
            </w:tcBorders>
            <w:shd w:val="clear" w:color="000000" w:fill="D9D9D9"/>
            <w:noWrap/>
            <w:vAlign w:val="center"/>
            <w:hideMark/>
          </w:tcPr>
          <w:p w14:paraId="16C6CC13" w14:textId="77777777" w:rsidR="00D10805" w:rsidRPr="00A17B6F" w:rsidRDefault="00D10805" w:rsidP="00D10805">
            <w:pPr>
              <w:spacing w:after="0" w:line="240" w:lineRule="auto"/>
              <w:jc w:val="right"/>
              <w:rPr>
                <w:rFonts w:ascii="Calibri" w:eastAsia="Times New Roman" w:hAnsi="Calibri" w:cs="Calibri"/>
                <w:b/>
                <w:bCs/>
                <w:color w:val="494529"/>
                <w:sz w:val="18"/>
                <w:szCs w:val="18"/>
                <w:lang w:eastAsia="hr-HR"/>
              </w:rPr>
            </w:pPr>
            <w:r w:rsidRPr="00A17B6F">
              <w:rPr>
                <w:rFonts w:ascii="Calibri" w:eastAsia="Times New Roman" w:hAnsi="Calibri" w:cs="Calibri"/>
                <w:b/>
                <w:bCs/>
                <w:color w:val="494529"/>
                <w:sz w:val="18"/>
                <w:szCs w:val="18"/>
                <w:lang w:eastAsia="hr-HR"/>
              </w:rPr>
              <w:t>0,00</w:t>
            </w:r>
          </w:p>
        </w:tc>
        <w:tc>
          <w:tcPr>
            <w:tcW w:w="1540" w:type="dxa"/>
            <w:tcBorders>
              <w:top w:val="nil"/>
              <w:left w:val="nil"/>
              <w:bottom w:val="single" w:sz="8" w:space="0" w:color="auto"/>
              <w:right w:val="nil"/>
            </w:tcBorders>
            <w:shd w:val="clear" w:color="000000" w:fill="D9D9D9"/>
            <w:noWrap/>
            <w:vAlign w:val="center"/>
            <w:hideMark/>
          </w:tcPr>
          <w:p w14:paraId="638FA3E1" w14:textId="77777777" w:rsidR="00D10805" w:rsidRPr="00A17B6F" w:rsidRDefault="00D10805" w:rsidP="00D10805">
            <w:pPr>
              <w:spacing w:after="0" w:line="240" w:lineRule="auto"/>
              <w:jc w:val="right"/>
              <w:rPr>
                <w:rFonts w:ascii="Calibri" w:eastAsia="Times New Roman" w:hAnsi="Calibri" w:cs="Calibri"/>
                <w:b/>
                <w:bCs/>
                <w:color w:val="494529"/>
                <w:sz w:val="18"/>
                <w:szCs w:val="18"/>
                <w:lang w:eastAsia="hr-HR"/>
              </w:rPr>
            </w:pPr>
            <w:r w:rsidRPr="00A17B6F">
              <w:rPr>
                <w:rFonts w:ascii="Calibri" w:eastAsia="Times New Roman" w:hAnsi="Calibri" w:cs="Calibri"/>
                <w:b/>
                <w:bCs/>
                <w:color w:val="494529"/>
                <w:sz w:val="18"/>
                <w:szCs w:val="18"/>
                <w:lang w:eastAsia="hr-HR"/>
              </w:rPr>
              <w:t>0,00</w:t>
            </w:r>
          </w:p>
        </w:tc>
        <w:tc>
          <w:tcPr>
            <w:tcW w:w="1363" w:type="dxa"/>
            <w:tcBorders>
              <w:top w:val="nil"/>
              <w:left w:val="nil"/>
              <w:bottom w:val="single" w:sz="8" w:space="0" w:color="auto"/>
              <w:right w:val="nil"/>
            </w:tcBorders>
            <w:shd w:val="clear" w:color="000000" w:fill="D9D9D9"/>
            <w:noWrap/>
            <w:vAlign w:val="center"/>
            <w:hideMark/>
          </w:tcPr>
          <w:p w14:paraId="188EEAAC" w14:textId="77777777" w:rsidR="00D10805" w:rsidRPr="00A17B6F" w:rsidRDefault="00D10805" w:rsidP="00D10805">
            <w:pPr>
              <w:spacing w:after="0" w:line="240" w:lineRule="auto"/>
              <w:jc w:val="right"/>
              <w:rPr>
                <w:rFonts w:ascii="Calibri" w:eastAsia="Times New Roman" w:hAnsi="Calibri" w:cs="Calibri"/>
                <w:b/>
                <w:bCs/>
                <w:color w:val="494529"/>
                <w:sz w:val="18"/>
                <w:szCs w:val="18"/>
                <w:lang w:eastAsia="hr-HR"/>
              </w:rPr>
            </w:pPr>
            <w:r w:rsidRPr="00A17B6F">
              <w:rPr>
                <w:rFonts w:ascii="Calibri" w:eastAsia="Times New Roman" w:hAnsi="Calibri" w:cs="Calibri"/>
                <w:b/>
                <w:bCs/>
                <w:color w:val="494529"/>
                <w:sz w:val="18"/>
                <w:szCs w:val="18"/>
                <w:lang w:eastAsia="hr-HR"/>
              </w:rPr>
              <w:t>22.272.007,88</w:t>
            </w:r>
          </w:p>
        </w:tc>
        <w:tc>
          <w:tcPr>
            <w:tcW w:w="992" w:type="dxa"/>
            <w:tcBorders>
              <w:top w:val="nil"/>
              <w:left w:val="nil"/>
              <w:bottom w:val="single" w:sz="8" w:space="0" w:color="auto"/>
              <w:right w:val="nil"/>
            </w:tcBorders>
            <w:shd w:val="clear" w:color="000000" w:fill="D9D9D9"/>
            <w:noWrap/>
            <w:vAlign w:val="center"/>
            <w:hideMark/>
          </w:tcPr>
          <w:p w14:paraId="3DCD8C98"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156,07</w:t>
            </w:r>
          </w:p>
        </w:tc>
        <w:tc>
          <w:tcPr>
            <w:tcW w:w="992" w:type="dxa"/>
            <w:tcBorders>
              <w:top w:val="nil"/>
              <w:left w:val="nil"/>
              <w:bottom w:val="single" w:sz="8" w:space="0" w:color="auto"/>
              <w:right w:val="nil"/>
            </w:tcBorders>
            <w:shd w:val="clear" w:color="000000" w:fill="D9D9D9"/>
            <w:noWrap/>
            <w:vAlign w:val="center"/>
            <w:hideMark/>
          </w:tcPr>
          <w:p w14:paraId="11978155"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w:t>
            </w:r>
          </w:p>
        </w:tc>
      </w:tr>
      <w:tr w:rsidR="00D10805" w:rsidRPr="00A17B6F" w14:paraId="3091D58E" w14:textId="77777777" w:rsidTr="00D10805">
        <w:trPr>
          <w:trHeight w:val="495"/>
        </w:trPr>
        <w:tc>
          <w:tcPr>
            <w:tcW w:w="960" w:type="dxa"/>
            <w:tcBorders>
              <w:top w:val="nil"/>
              <w:left w:val="nil"/>
              <w:bottom w:val="single" w:sz="8" w:space="0" w:color="auto"/>
              <w:right w:val="nil"/>
            </w:tcBorders>
            <w:shd w:val="clear" w:color="000000" w:fill="D9D9D9"/>
            <w:noWrap/>
            <w:vAlign w:val="center"/>
            <w:hideMark/>
          </w:tcPr>
          <w:p w14:paraId="23F8646C" w14:textId="77777777" w:rsidR="00D10805" w:rsidRPr="00A17B6F" w:rsidRDefault="00D10805" w:rsidP="00D10805">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4.2.</w:t>
            </w:r>
          </w:p>
        </w:tc>
        <w:tc>
          <w:tcPr>
            <w:tcW w:w="2159" w:type="dxa"/>
            <w:tcBorders>
              <w:top w:val="nil"/>
              <w:left w:val="nil"/>
              <w:bottom w:val="single" w:sz="8" w:space="0" w:color="auto"/>
              <w:right w:val="nil"/>
            </w:tcBorders>
            <w:shd w:val="clear" w:color="000000" w:fill="D9D9D9"/>
            <w:vAlign w:val="center"/>
            <w:hideMark/>
          </w:tcPr>
          <w:p w14:paraId="0B31409B" w14:textId="77777777" w:rsidR="00D10805" w:rsidRPr="00A17B6F" w:rsidRDefault="00D10805" w:rsidP="00D10805">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OD ČEGA VIŠAK/MANJAK PRORAČUNSKIH KORISNIKA</w:t>
            </w:r>
          </w:p>
        </w:tc>
        <w:tc>
          <w:tcPr>
            <w:tcW w:w="1540" w:type="dxa"/>
            <w:tcBorders>
              <w:top w:val="nil"/>
              <w:left w:val="nil"/>
              <w:bottom w:val="single" w:sz="8" w:space="0" w:color="auto"/>
              <w:right w:val="nil"/>
            </w:tcBorders>
            <w:shd w:val="clear" w:color="000000" w:fill="D9D9D9"/>
            <w:noWrap/>
            <w:vAlign w:val="center"/>
            <w:hideMark/>
          </w:tcPr>
          <w:p w14:paraId="7B8824B7" w14:textId="77777777" w:rsidR="00D10805" w:rsidRPr="00A17B6F" w:rsidRDefault="00D10805" w:rsidP="00D10805">
            <w:pPr>
              <w:spacing w:after="0" w:line="240" w:lineRule="auto"/>
              <w:jc w:val="right"/>
              <w:rPr>
                <w:rFonts w:ascii="Calibri" w:eastAsia="Times New Roman" w:hAnsi="Calibri" w:cs="Calibri"/>
                <w:b/>
                <w:bCs/>
                <w:color w:val="494529"/>
                <w:sz w:val="18"/>
                <w:szCs w:val="18"/>
                <w:lang w:eastAsia="hr-HR"/>
              </w:rPr>
            </w:pPr>
            <w:r w:rsidRPr="00A17B6F">
              <w:rPr>
                <w:rFonts w:ascii="Calibri" w:eastAsia="Times New Roman" w:hAnsi="Calibri" w:cs="Calibri"/>
                <w:b/>
                <w:bCs/>
                <w:color w:val="494529"/>
                <w:sz w:val="18"/>
                <w:szCs w:val="18"/>
                <w:lang w:eastAsia="hr-HR"/>
              </w:rPr>
              <w:t>4.947.320,73</w:t>
            </w:r>
          </w:p>
        </w:tc>
        <w:tc>
          <w:tcPr>
            <w:tcW w:w="1363" w:type="dxa"/>
            <w:tcBorders>
              <w:top w:val="nil"/>
              <w:left w:val="nil"/>
              <w:bottom w:val="single" w:sz="8" w:space="0" w:color="auto"/>
              <w:right w:val="nil"/>
            </w:tcBorders>
            <w:shd w:val="clear" w:color="000000" w:fill="D9D9D9"/>
            <w:noWrap/>
            <w:vAlign w:val="center"/>
            <w:hideMark/>
          </w:tcPr>
          <w:p w14:paraId="30F57957" w14:textId="77777777" w:rsidR="00D10805" w:rsidRPr="00A17B6F" w:rsidRDefault="00D10805" w:rsidP="00D10805">
            <w:pPr>
              <w:spacing w:after="0" w:line="240" w:lineRule="auto"/>
              <w:jc w:val="right"/>
              <w:rPr>
                <w:rFonts w:ascii="Calibri" w:eastAsia="Times New Roman" w:hAnsi="Calibri" w:cs="Calibri"/>
                <w:b/>
                <w:bCs/>
                <w:color w:val="494529"/>
                <w:sz w:val="18"/>
                <w:szCs w:val="18"/>
                <w:lang w:eastAsia="hr-HR"/>
              </w:rPr>
            </w:pPr>
            <w:r w:rsidRPr="00A17B6F">
              <w:rPr>
                <w:rFonts w:ascii="Calibri" w:eastAsia="Times New Roman" w:hAnsi="Calibri" w:cs="Calibri"/>
                <w:b/>
                <w:bCs/>
                <w:color w:val="494529"/>
                <w:sz w:val="18"/>
                <w:szCs w:val="18"/>
                <w:lang w:eastAsia="hr-HR"/>
              </w:rPr>
              <w:t>0,00</w:t>
            </w:r>
          </w:p>
        </w:tc>
        <w:tc>
          <w:tcPr>
            <w:tcW w:w="1540" w:type="dxa"/>
            <w:tcBorders>
              <w:top w:val="nil"/>
              <w:left w:val="nil"/>
              <w:bottom w:val="single" w:sz="8" w:space="0" w:color="auto"/>
              <w:right w:val="nil"/>
            </w:tcBorders>
            <w:shd w:val="clear" w:color="000000" w:fill="D9D9D9"/>
            <w:noWrap/>
            <w:vAlign w:val="center"/>
            <w:hideMark/>
          </w:tcPr>
          <w:p w14:paraId="543CD7FE" w14:textId="77777777" w:rsidR="00D10805" w:rsidRPr="00A17B6F" w:rsidRDefault="00D10805" w:rsidP="00D10805">
            <w:pPr>
              <w:spacing w:after="0" w:line="240" w:lineRule="auto"/>
              <w:jc w:val="right"/>
              <w:rPr>
                <w:rFonts w:ascii="Calibri" w:eastAsia="Times New Roman" w:hAnsi="Calibri" w:cs="Calibri"/>
                <w:b/>
                <w:bCs/>
                <w:color w:val="494529"/>
                <w:sz w:val="18"/>
                <w:szCs w:val="18"/>
                <w:lang w:eastAsia="hr-HR"/>
              </w:rPr>
            </w:pPr>
            <w:r w:rsidRPr="00A17B6F">
              <w:rPr>
                <w:rFonts w:ascii="Calibri" w:eastAsia="Times New Roman" w:hAnsi="Calibri" w:cs="Calibri"/>
                <w:b/>
                <w:bCs/>
                <w:color w:val="494529"/>
                <w:sz w:val="18"/>
                <w:szCs w:val="18"/>
                <w:lang w:eastAsia="hr-HR"/>
              </w:rPr>
              <w:t>0,00</w:t>
            </w:r>
          </w:p>
        </w:tc>
        <w:tc>
          <w:tcPr>
            <w:tcW w:w="1363" w:type="dxa"/>
            <w:tcBorders>
              <w:top w:val="nil"/>
              <w:left w:val="nil"/>
              <w:bottom w:val="single" w:sz="8" w:space="0" w:color="auto"/>
              <w:right w:val="nil"/>
            </w:tcBorders>
            <w:shd w:val="clear" w:color="000000" w:fill="D9D9D9"/>
            <w:noWrap/>
            <w:vAlign w:val="center"/>
            <w:hideMark/>
          </w:tcPr>
          <w:p w14:paraId="3D371FDD" w14:textId="77777777" w:rsidR="00D10805" w:rsidRPr="00A17B6F" w:rsidRDefault="00D10805" w:rsidP="00D10805">
            <w:pPr>
              <w:spacing w:after="0" w:line="240" w:lineRule="auto"/>
              <w:jc w:val="right"/>
              <w:rPr>
                <w:rFonts w:ascii="Calibri" w:eastAsia="Times New Roman" w:hAnsi="Calibri" w:cs="Calibri"/>
                <w:b/>
                <w:bCs/>
                <w:color w:val="494529"/>
                <w:sz w:val="18"/>
                <w:szCs w:val="18"/>
                <w:lang w:eastAsia="hr-HR"/>
              </w:rPr>
            </w:pPr>
            <w:r w:rsidRPr="00A17B6F">
              <w:rPr>
                <w:rFonts w:ascii="Calibri" w:eastAsia="Times New Roman" w:hAnsi="Calibri" w:cs="Calibri"/>
                <w:b/>
                <w:bCs/>
                <w:color w:val="494529"/>
                <w:sz w:val="18"/>
                <w:szCs w:val="18"/>
                <w:lang w:eastAsia="hr-HR"/>
              </w:rPr>
              <w:t>-726.444,26</w:t>
            </w:r>
          </w:p>
        </w:tc>
        <w:tc>
          <w:tcPr>
            <w:tcW w:w="992" w:type="dxa"/>
            <w:tcBorders>
              <w:top w:val="nil"/>
              <w:left w:val="nil"/>
              <w:bottom w:val="single" w:sz="8" w:space="0" w:color="auto"/>
              <w:right w:val="nil"/>
            </w:tcBorders>
            <w:shd w:val="clear" w:color="000000" w:fill="D9D9D9"/>
            <w:noWrap/>
            <w:vAlign w:val="center"/>
            <w:hideMark/>
          </w:tcPr>
          <w:p w14:paraId="06CE2D0B"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-14,68</w:t>
            </w:r>
          </w:p>
        </w:tc>
        <w:tc>
          <w:tcPr>
            <w:tcW w:w="992" w:type="dxa"/>
            <w:tcBorders>
              <w:top w:val="nil"/>
              <w:left w:val="nil"/>
              <w:bottom w:val="single" w:sz="8" w:space="0" w:color="auto"/>
              <w:right w:val="nil"/>
            </w:tcBorders>
            <w:shd w:val="clear" w:color="000000" w:fill="D9D9D9"/>
            <w:noWrap/>
            <w:vAlign w:val="center"/>
            <w:hideMark/>
          </w:tcPr>
          <w:p w14:paraId="2EA2A49D" w14:textId="77777777" w:rsidR="00D10805" w:rsidRPr="00A17B6F" w:rsidRDefault="00D10805" w:rsidP="00D10805">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w:t>
            </w:r>
          </w:p>
        </w:tc>
      </w:tr>
    </w:tbl>
    <w:p w14:paraId="1B4C76C3" w14:textId="5F74C478" w:rsidR="00D10805" w:rsidRPr="00A17B6F" w:rsidRDefault="00D10805" w:rsidP="00087289">
      <w:pPr>
        <w:spacing w:after="0" w:line="240" w:lineRule="auto"/>
        <w:jc w:val="both"/>
        <w:rPr>
          <w:rFonts w:ascii="Arial" w:eastAsia="Times New Roman" w:hAnsi="Arial" w:cs="Arial"/>
          <w:sz w:val="20"/>
          <w:szCs w:val="20"/>
          <w:lang w:eastAsia="hr-HR"/>
        </w:rPr>
      </w:pPr>
    </w:p>
    <w:p w14:paraId="5E76DB18" w14:textId="77777777" w:rsidR="00CB3810" w:rsidRPr="00A17B6F" w:rsidRDefault="00CB3810" w:rsidP="00CB3810">
      <w:pPr>
        <w:spacing w:after="0" w:line="240" w:lineRule="auto"/>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Iz prezentiranih podataka proizlazi slijedeće:</w:t>
      </w:r>
    </w:p>
    <w:p w14:paraId="10C01DBC" w14:textId="3D43E178" w:rsidR="00CB3810" w:rsidRPr="00A17B6F" w:rsidRDefault="00CB3810" w:rsidP="00CB3810">
      <w:pPr>
        <w:numPr>
          <w:ilvl w:val="0"/>
          <w:numId w:val="3"/>
        </w:numPr>
        <w:overflowPunct w:val="0"/>
        <w:autoSpaceDE w:val="0"/>
        <w:autoSpaceDN w:val="0"/>
        <w:adjustRightInd w:val="0"/>
        <w:spacing w:after="120" w:line="240" w:lineRule="auto"/>
        <w:jc w:val="both"/>
        <w:textAlignment w:val="baseline"/>
        <w:rPr>
          <w:rFonts w:ascii="Arial" w:eastAsia="Times New Roman" w:hAnsi="Arial" w:cs="Arial"/>
          <w:sz w:val="24"/>
          <w:szCs w:val="24"/>
          <w:lang w:eastAsia="hr-HR"/>
        </w:rPr>
      </w:pPr>
      <w:r w:rsidRPr="00A17B6F">
        <w:rPr>
          <w:rFonts w:ascii="Arial" w:eastAsia="Times New Roman" w:hAnsi="Arial" w:cs="Arial"/>
          <w:b/>
          <w:sz w:val="24"/>
          <w:szCs w:val="24"/>
          <w:lang w:eastAsia="hr-HR"/>
        </w:rPr>
        <w:t>ukupno raspoloživa sredstva</w:t>
      </w:r>
      <w:r w:rsidRPr="00A17B6F">
        <w:rPr>
          <w:rFonts w:ascii="Arial" w:eastAsia="Times New Roman" w:hAnsi="Arial" w:cs="Arial"/>
          <w:sz w:val="24"/>
          <w:szCs w:val="24"/>
          <w:lang w:eastAsia="hr-HR"/>
        </w:rPr>
        <w:t xml:space="preserve"> (prihodi/primici uvećani za prenesena sredstva iz prethodne godine) konsolidiranog proračuna Županije u prvoj polovici 202</w:t>
      </w:r>
      <w:r w:rsidR="00B12DB6"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iznosila su </w:t>
      </w:r>
      <w:r w:rsidR="00B12DB6" w:rsidRPr="00A17B6F">
        <w:rPr>
          <w:rFonts w:ascii="Arial" w:eastAsia="Times New Roman" w:hAnsi="Arial" w:cs="Arial"/>
          <w:sz w:val="24"/>
          <w:szCs w:val="24"/>
          <w:lang w:eastAsia="hr-HR"/>
        </w:rPr>
        <w:t>144.938.859,14</w:t>
      </w:r>
      <w:r w:rsidR="00B64CB5"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B12DB6" w:rsidRPr="00A17B6F">
        <w:rPr>
          <w:rFonts w:ascii="Arial" w:eastAsia="Times New Roman" w:hAnsi="Arial" w:cs="Arial"/>
          <w:sz w:val="24"/>
          <w:szCs w:val="24"/>
          <w:lang w:eastAsia="hr-HR"/>
        </w:rPr>
        <w:t>49,13</w:t>
      </w:r>
      <w:r w:rsidRPr="00A17B6F">
        <w:rPr>
          <w:rFonts w:ascii="Arial" w:eastAsia="Times New Roman" w:hAnsi="Arial" w:cs="Arial"/>
          <w:sz w:val="24"/>
          <w:szCs w:val="24"/>
          <w:lang w:eastAsia="hr-HR"/>
        </w:rPr>
        <w:t>% planskog iznosa na razini godine</w:t>
      </w:r>
      <w:r w:rsidR="00B12DB6" w:rsidRPr="00A17B6F">
        <w:rPr>
          <w:rFonts w:ascii="Arial" w:eastAsia="Times New Roman" w:hAnsi="Arial" w:cs="Arial"/>
          <w:sz w:val="24"/>
          <w:szCs w:val="24"/>
          <w:lang w:eastAsia="hr-HR"/>
        </w:rPr>
        <w:t>, odnosno 21,62% više u odnosu na isto razdoblje prethodne godine</w:t>
      </w:r>
      <w:r w:rsidRPr="00A17B6F">
        <w:rPr>
          <w:rFonts w:ascii="Arial" w:eastAsia="Times New Roman" w:hAnsi="Arial" w:cs="Arial"/>
          <w:sz w:val="24"/>
          <w:szCs w:val="24"/>
          <w:lang w:eastAsia="hr-HR"/>
        </w:rPr>
        <w:t xml:space="preserve">, </w:t>
      </w:r>
    </w:p>
    <w:p w14:paraId="35416BFF" w14:textId="324627EF" w:rsidR="00CB3810" w:rsidRPr="00A17B6F" w:rsidRDefault="00CB3810" w:rsidP="00CB3810">
      <w:pPr>
        <w:numPr>
          <w:ilvl w:val="0"/>
          <w:numId w:val="3"/>
        </w:numPr>
        <w:overflowPunct w:val="0"/>
        <w:autoSpaceDE w:val="0"/>
        <w:autoSpaceDN w:val="0"/>
        <w:adjustRightInd w:val="0"/>
        <w:spacing w:after="120" w:line="240" w:lineRule="auto"/>
        <w:jc w:val="both"/>
        <w:textAlignment w:val="baseline"/>
        <w:rPr>
          <w:rFonts w:ascii="Arial" w:eastAsia="Times New Roman" w:hAnsi="Arial" w:cs="Arial"/>
          <w:sz w:val="24"/>
          <w:szCs w:val="24"/>
          <w:lang w:eastAsia="hr-HR"/>
        </w:rPr>
      </w:pPr>
      <w:r w:rsidRPr="00A17B6F">
        <w:rPr>
          <w:rFonts w:ascii="Arial" w:eastAsia="Times New Roman" w:hAnsi="Arial" w:cs="Arial"/>
          <w:b/>
          <w:sz w:val="24"/>
          <w:szCs w:val="24"/>
          <w:lang w:eastAsia="hr-HR"/>
        </w:rPr>
        <w:t>prihodi i primici tekuće godine</w:t>
      </w:r>
      <w:r w:rsidRPr="00A17B6F">
        <w:rPr>
          <w:rFonts w:ascii="Arial" w:eastAsia="Times New Roman" w:hAnsi="Arial" w:cs="Arial"/>
          <w:sz w:val="24"/>
          <w:szCs w:val="24"/>
          <w:lang w:eastAsia="hr-HR"/>
        </w:rPr>
        <w:t xml:space="preserve"> u prvih šest mjeseci naplaćeni su u iznosu od </w:t>
      </w:r>
      <w:r w:rsidR="00B12DB6" w:rsidRPr="00A17B6F">
        <w:rPr>
          <w:rFonts w:ascii="Arial" w:eastAsia="Times New Roman" w:hAnsi="Arial" w:cs="Arial"/>
          <w:sz w:val="24"/>
          <w:szCs w:val="24"/>
          <w:lang w:eastAsia="hr-HR"/>
        </w:rPr>
        <w:t>133.309.481,33</w:t>
      </w:r>
      <w:r w:rsidRPr="00A17B6F">
        <w:rPr>
          <w:rFonts w:ascii="Arial" w:eastAsia="Times New Roman" w:hAnsi="Arial" w:cs="Arial"/>
          <w:sz w:val="24"/>
          <w:szCs w:val="24"/>
          <w:lang w:eastAsia="hr-HR"/>
        </w:rPr>
        <w:t xml:space="preserve"> </w:t>
      </w:r>
      <w:r w:rsidR="00B64CB5" w:rsidRPr="00A17B6F">
        <w:rPr>
          <w:rFonts w:ascii="Arial" w:eastAsia="Times New Roman" w:hAnsi="Arial" w:cs="Arial"/>
          <w:sz w:val="24"/>
          <w:szCs w:val="24"/>
          <w:lang w:eastAsia="hr-HR"/>
        </w:rPr>
        <w:t>eura</w:t>
      </w:r>
      <w:r w:rsidRPr="00A17B6F">
        <w:rPr>
          <w:rFonts w:ascii="Arial" w:eastAsia="Times New Roman" w:hAnsi="Arial" w:cs="Arial"/>
          <w:sz w:val="24"/>
          <w:szCs w:val="24"/>
          <w:lang w:eastAsia="hr-HR"/>
        </w:rPr>
        <w:t xml:space="preserve"> odnosno </w:t>
      </w:r>
      <w:r w:rsidR="00FC4B6B" w:rsidRPr="00A17B6F">
        <w:rPr>
          <w:rFonts w:ascii="Arial" w:eastAsia="Times New Roman" w:hAnsi="Arial" w:cs="Arial"/>
          <w:sz w:val="24"/>
          <w:szCs w:val="24"/>
          <w:lang w:eastAsia="hr-HR"/>
        </w:rPr>
        <w:t>47,05</w:t>
      </w:r>
      <w:r w:rsidRPr="00A17B6F">
        <w:rPr>
          <w:rFonts w:ascii="Arial" w:eastAsia="Times New Roman" w:hAnsi="Arial" w:cs="Arial"/>
          <w:sz w:val="24"/>
          <w:szCs w:val="24"/>
          <w:lang w:eastAsia="hr-HR"/>
        </w:rPr>
        <w:t>% godišnjeg plana,</w:t>
      </w:r>
    </w:p>
    <w:p w14:paraId="29D8E00B" w14:textId="768551B0" w:rsidR="00CB3810" w:rsidRPr="00A17B6F" w:rsidRDefault="00CB3810" w:rsidP="00CB3810">
      <w:pPr>
        <w:numPr>
          <w:ilvl w:val="0"/>
          <w:numId w:val="3"/>
        </w:numPr>
        <w:overflowPunct w:val="0"/>
        <w:autoSpaceDE w:val="0"/>
        <w:autoSpaceDN w:val="0"/>
        <w:adjustRightInd w:val="0"/>
        <w:spacing w:after="120" w:line="240" w:lineRule="auto"/>
        <w:jc w:val="both"/>
        <w:textAlignment w:val="baseline"/>
        <w:rPr>
          <w:rFonts w:ascii="Arial" w:eastAsia="Times New Roman" w:hAnsi="Arial" w:cs="Arial"/>
          <w:sz w:val="24"/>
          <w:szCs w:val="24"/>
          <w:lang w:eastAsia="hr-HR"/>
        </w:rPr>
      </w:pPr>
      <w:r w:rsidRPr="00A17B6F">
        <w:rPr>
          <w:rFonts w:ascii="Arial" w:eastAsia="Times New Roman" w:hAnsi="Arial" w:cs="Arial"/>
          <w:b/>
          <w:sz w:val="24"/>
          <w:szCs w:val="24"/>
          <w:lang w:eastAsia="hr-HR"/>
        </w:rPr>
        <w:t>ukupni rashodi i izdaci</w:t>
      </w:r>
      <w:r w:rsidRPr="00A17B6F">
        <w:rPr>
          <w:rFonts w:ascii="Arial" w:eastAsia="Times New Roman" w:hAnsi="Arial" w:cs="Arial"/>
          <w:sz w:val="24"/>
          <w:szCs w:val="24"/>
          <w:lang w:eastAsia="hr-HR"/>
        </w:rPr>
        <w:t xml:space="preserve"> Proračuna u prvoj polovici godine izvršeni su u iznosu od </w:t>
      </w:r>
      <w:r w:rsidR="00FC4B6B" w:rsidRPr="00A17B6F">
        <w:rPr>
          <w:rFonts w:ascii="Arial" w:eastAsia="Times New Roman" w:hAnsi="Arial" w:cs="Arial"/>
          <w:sz w:val="24"/>
          <w:szCs w:val="24"/>
          <w:lang w:eastAsia="hr-HR"/>
        </w:rPr>
        <w:t>123.393.295,52</w:t>
      </w:r>
      <w:r w:rsidR="00B64CB5"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odnosno </w:t>
      </w:r>
      <w:r w:rsidR="00FC4B6B" w:rsidRPr="00A17B6F">
        <w:rPr>
          <w:rFonts w:ascii="Arial" w:eastAsia="Times New Roman" w:hAnsi="Arial" w:cs="Arial"/>
          <w:sz w:val="24"/>
          <w:szCs w:val="24"/>
          <w:lang w:eastAsia="hr-HR"/>
        </w:rPr>
        <w:t>41,83</w:t>
      </w:r>
      <w:r w:rsidR="00B64CB5" w:rsidRPr="00A17B6F">
        <w:rPr>
          <w:rFonts w:ascii="Arial" w:eastAsia="Times New Roman" w:hAnsi="Arial" w:cs="Arial"/>
          <w:sz w:val="24"/>
          <w:szCs w:val="24"/>
          <w:lang w:eastAsia="hr-HR"/>
        </w:rPr>
        <w:t xml:space="preserve"> </w:t>
      </w:r>
      <w:r w:rsidRPr="00A17B6F">
        <w:rPr>
          <w:rFonts w:ascii="Arial" w:eastAsia="Times New Roman" w:hAnsi="Arial" w:cs="Arial"/>
          <w:sz w:val="24"/>
          <w:szCs w:val="24"/>
          <w:lang w:eastAsia="hr-HR"/>
        </w:rPr>
        <w:t>% godišnjeg plana,</w:t>
      </w:r>
    </w:p>
    <w:p w14:paraId="0017C7A3" w14:textId="2E118252" w:rsidR="00CB3810" w:rsidRPr="00A17B6F" w:rsidRDefault="00CB3810" w:rsidP="00CB3810">
      <w:pPr>
        <w:numPr>
          <w:ilvl w:val="0"/>
          <w:numId w:val="3"/>
        </w:numPr>
        <w:overflowPunct w:val="0"/>
        <w:autoSpaceDE w:val="0"/>
        <w:autoSpaceDN w:val="0"/>
        <w:adjustRightInd w:val="0"/>
        <w:spacing w:after="120" w:line="240" w:lineRule="auto"/>
        <w:jc w:val="both"/>
        <w:textAlignment w:val="baseline"/>
        <w:rPr>
          <w:rFonts w:ascii="Arial" w:eastAsia="Times New Roman" w:hAnsi="Arial" w:cs="Times New Roman"/>
          <w:sz w:val="24"/>
          <w:szCs w:val="24"/>
          <w:lang w:eastAsia="hr-HR"/>
        </w:rPr>
      </w:pPr>
      <w:r w:rsidRPr="00A17B6F">
        <w:rPr>
          <w:rFonts w:ascii="Arial" w:eastAsia="Times New Roman" w:hAnsi="Arial" w:cs="Times New Roman"/>
          <w:b/>
          <w:sz w:val="24"/>
          <w:szCs w:val="24"/>
          <w:lang w:eastAsia="hr-HR"/>
        </w:rPr>
        <w:t>razlika između raspoloživih sredstava i izvršenih rashoda / izdataka</w:t>
      </w:r>
      <w:r w:rsidRPr="00A17B6F">
        <w:rPr>
          <w:rFonts w:ascii="Arial" w:eastAsia="Times New Roman" w:hAnsi="Arial" w:cs="Times New Roman"/>
          <w:sz w:val="24"/>
          <w:szCs w:val="24"/>
          <w:lang w:eastAsia="hr-HR"/>
        </w:rPr>
        <w:t xml:space="preserve"> </w:t>
      </w:r>
      <w:r w:rsidRPr="00A17B6F">
        <w:rPr>
          <w:rFonts w:ascii="Arial" w:eastAsia="Times New Roman" w:hAnsi="Arial" w:cs="Times New Roman"/>
          <w:sz w:val="24"/>
          <w:szCs w:val="24"/>
          <w:lang w:eastAsia="hr-HR"/>
        </w:rPr>
        <w:br/>
        <w:t>na kraju prvog polugodišta 202</w:t>
      </w:r>
      <w:r w:rsidR="00FC4B6B" w:rsidRPr="00A17B6F">
        <w:rPr>
          <w:rFonts w:ascii="Arial" w:eastAsia="Times New Roman" w:hAnsi="Arial" w:cs="Times New Roman"/>
          <w:sz w:val="24"/>
          <w:szCs w:val="24"/>
          <w:lang w:eastAsia="hr-HR"/>
        </w:rPr>
        <w:t>4</w:t>
      </w:r>
      <w:r w:rsidRPr="00A17B6F">
        <w:rPr>
          <w:rFonts w:ascii="Arial" w:eastAsia="Times New Roman" w:hAnsi="Arial" w:cs="Times New Roman"/>
          <w:sz w:val="24"/>
          <w:szCs w:val="24"/>
          <w:lang w:eastAsia="hr-HR"/>
        </w:rPr>
        <w:t xml:space="preserve">. godine iznosi </w:t>
      </w:r>
      <w:r w:rsidR="00FC4B6B" w:rsidRPr="00A17B6F">
        <w:rPr>
          <w:rFonts w:ascii="Arial" w:eastAsia="Times New Roman" w:hAnsi="Arial" w:cs="Times New Roman"/>
          <w:sz w:val="24"/>
          <w:szCs w:val="24"/>
          <w:lang w:eastAsia="hr-HR"/>
        </w:rPr>
        <w:t>21.545.563,62</w:t>
      </w:r>
      <w:r w:rsidR="005D2CCE"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ili </w:t>
      </w:r>
      <w:r w:rsidR="00FC4B6B" w:rsidRPr="00A17B6F">
        <w:rPr>
          <w:rFonts w:ascii="Arial" w:eastAsia="Times New Roman" w:hAnsi="Arial" w:cs="Times New Roman"/>
          <w:sz w:val="24"/>
          <w:szCs w:val="24"/>
          <w:lang w:eastAsia="hr-HR"/>
        </w:rPr>
        <w:t>14,87</w:t>
      </w:r>
      <w:r w:rsidRPr="00A17B6F">
        <w:rPr>
          <w:rFonts w:ascii="Arial" w:eastAsia="Times New Roman" w:hAnsi="Arial" w:cs="Times New Roman"/>
          <w:sz w:val="24"/>
          <w:szCs w:val="24"/>
          <w:lang w:eastAsia="hr-HR"/>
        </w:rPr>
        <w:t xml:space="preserve">% ukupno raspoloživih sredstava. Navedeni višak konsolidiranog proračuna </w:t>
      </w:r>
      <w:r w:rsidR="00FC4B6B" w:rsidRPr="00A17B6F">
        <w:rPr>
          <w:rFonts w:ascii="Arial" w:eastAsia="Times New Roman" w:hAnsi="Arial" w:cs="Times New Roman"/>
          <w:sz w:val="24"/>
          <w:szCs w:val="24"/>
          <w:lang w:eastAsia="hr-HR"/>
        </w:rPr>
        <w:t>rezultat je</w:t>
      </w:r>
      <w:r w:rsidRPr="00A17B6F">
        <w:rPr>
          <w:rFonts w:ascii="Arial" w:eastAsia="Times New Roman" w:hAnsi="Arial" w:cs="Times New Roman"/>
          <w:sz w:val="24"/>
          <w:szCs w:val="24"/>
          <w:lang w:eastAsia="hr-HR"/>
        </w:rPr>
        <w:t xml:space="preserve"> </w:t>
      </w:r>
      <w:r w:rsidR="00FC4B6B" w:rsidRPr="00A17B6F">
        <w:rPr>
          <w:rFonts w:ascii="Arial" w:eastAsia="Times New Roman" w:hAnsi="Arial" w:cs="Times New Roman"/>
          <w:sz w:val="24"/>
          <w:szCs w:val="24"/>
          <w:lang w:eastAsia="hr-HR"/>
        </w:rPr>
        <w:t>viška</w:t>
      </w:r>
      <w:r w:rsidRPr="00A17B6F">
        <w:rPr>
          <w:rFonts w:ascii="Arial" w:eastAsia="Times New Roman" w:hAnsi="Arial" w:cs="Times New Roman"/>
          <w:sz w:val="24"/>
          <w:szCs w:val="24"/>
          <w:lang w:eastAsia="hr-HR"/>
        </w:rPr>
        <w:t xml:space="preserve"> Županije u iznosu od </w:t>
      </w:r>
      <w:r w:rsidR="00FC4B6B" w:rsidRPr="00A17B6F">
        <w:rPr>
          <w:rFonts w:ascii="Arial" w:eastAsia="Times New Roman" w:hAnsi="Arial" w:cs="Times New Roman"/>
          <w:sz w:val="24"/>
          <w:szCs w:val="24"/>
          <w:lang w:eastAsia="hr-HR"/>
        </w:rPr>
        <w:t xml:space="preserve">22.272.007,88 </w:t>
      </w:r>
      <w:r w:rsidR="005D2CCE" w:rsidRPr="00A17B6F">
        <w:rPr>
          <w:rFonts w:ascii="Arial" w:eastAsia="Times New Roman" w:hAnsi="Arial" w:cs="Times New Roman"/>
          <w:sz w:val="24"/>
          <w:szCs w:val="24"/>
          <w:lang w:eastAsia="hr-HR"/>
        </w:rPr>
        <w:t>eura</w:t>
      </w:r>
      <w:r w:rsidRPr="00A17B6F">
        <w:rPr>
          <w:rFonts w:ascii="Arial" w:eastAsia="Times New Roman" w:hAnsi="Arial" w:cs="Times New Roman"/>
          <w:sz w:val="24"/>
          <w:szCs w:val="24"/>
          <w:lang w:eastAsia="hr-HR"/>
        </w:rPr>
        <w:t xml:space="preserve"> i ukupnog </w:t>
      </w:r>
      <w:r w:rsidR="00FC4B6B" w:rsidRPr="00A17B6F">
        <w:rPr>
          <w:rFonts w:ascii="Arial" w:eastAsia="Times New Roman" w:hAnsi="Arial" w:cs="Times New Roman"/>
          <w:sz w:val="24"/>
          <w:szCs w:val="24"/>
          <w:lang w:eastAsia="hr-HR"/>
        </w:rPr>
        <w:t>manjka</w:t>
      </w:r>
      <w:r w:rsidRPr="00A17B6F">
        <w:rPr>
          <w:rFonts w:ascii="Arial" w:eastAsia="Times New Roman" w:hAnsi="Arial" w:cs="Times New Roman"/>
          <w:sz w:val="24"/>
          <w:szCs w:val="24"/>
          <w:lang w:eastAsia="hr-HR"/>
        </w:rPr>
        <w:t xml:space="preserve"> njenih proračunskih korisnika u iznosu od </w:t>
      </w:r>
      <w:r w:rsidR="00FC4B6B" w:rsidRPr="00A17B6F">
        <w:rPr>
          <w:rFonts w:ascii="Arial" w:eastAsia="Times New Roman" w:hAnsi="Arial" w:cs="Times New Roman"/>
          <w:sz w:val="24"/>
          <w:szCs w:val="24"/>
          <w:lang w:eastAsia="hr-HR"/>
        </w:rPr>
        <w:t>726.444,26</w:t>
      </w:r>
      <w:r w:rsidR="005D2CCE"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w:t>
      </w:r>
    </w:p>
    <w:p w14:paraId="0164065B" w14:textId="7B6BCBAE" w:rsidR="00987502" w:rsidRPr="00A17B6F" w:rsidRDefault="00987502" w:rsidP="00987502">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A17B6F">
        <w:rPr>
          <w:rFonts w:ascii="Arial" w:eastAsia="Times New Roman" w:hAnsi="Arial" w:cs="Arial"/>
          <w:sz w:val="24"/>
          <w:szCs w:val="20"/>
          <w:lang w:eastAsia="hr-HR"/>
        </w:rPr>
        <w:t>U Tablici 2. daje</w:t>
      </w:r>
      <w:r w:rsidR="001E3FE8">
        <w:rPr>
          <w:rFonts w:ascii="Arial" w:eastAsia="Times New Roman" w:hAnsi="Arial" w:cs="Arial"/>
          <w:sz w:val="24"/>
          <w:szCs w:val="20"/>
          <w:lang w:eastAsia="hr-HR"/>
        </w:rPr>
        <w:t xml:space="preserve"> se</w:t>
      </w:r>
      <w:r w:rsidRPr="00A17B6F">
        <w:rPr>
          <w:rFonts w:ascii="Arial" w:eastAsia="Times New Roman" w:hAnsi="Arial" w:cs="Arial"/>
          <w:sz w:val="24"/>
          <w:szCs w:val="20"/>
          <w:lang w:eastAsia="hr-HR"/>
        </w:rPr>
        <w:t xml:space="preserve"> pregled doprinosa proračunskih korisnika, odnosno grupa proračunskih korisnika (sukladno organizacijskoj klasifikaciji Proračuna), njihovom zajedničkom manjku prihoda /primitaka u prvoj polovici 2024. godine:</w:t>
      </w:r>
    </w:p>
    <w:p w14:paraId="75548B93" w14:textId="77777777" w:rsidR="00987502" w:rsidRPr="00A17B6F" w:rsidRDefault="00987502" w:rsidP="00987502">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p>
    <w:p w14:paraId="477B8149" w14:textId="3A07D81B" w:rsidR="00987502" w:rsidRPr="00A17B6F" w:rsidRDefault="00987502" w:rsidP="00987502">
      <w:pPr>
        <w:spacing w:after="0" w:line="240" w:lineRule="auto"/>
        <w:ind w:left="1276" w:hanging="1276"/>
        <w:jc w:val="both"/>
        <w:rPr>
          <w:rFonts w:ascii="Arial" w:eastAsia="Times New Roman" w:hAnsi="Arial" w:cs="Arial"/>
          <w:sz w:val="24"/>
          <w:szCs w:val="24"/>
          <w:lang w:eastAsia="hr-HR"/>
        </w:rPr>
      </w:pPr>
      <w:r w:rsidRPr="00A17B6F">
        <w:rPr>
          <w:rFonts w:ascii="Arial" w:eastAsia="Times New Roman" w:hAnsi="Arial" w:cs="Arial"/>
          <w:b/>
          <w:sz w:val="24"/>
          <w:szCs w:val="24"/>
          <w:lang w:eastAsia="hr-HR"/>
        </w:rPr>
        <w:t>Tablica 2.:</w:t>
      </w:r>
      <w:r w:rsidRPr="00A17B6F">
        <w:rPr>
          <w:rFonts w:ascii="Arial" w:eastAsia="Times New Roman" w:hAnsi="Arial" w:cs="Arial"/>
          <w:sz w:val="24"/>
          <w:szCs w:val="24"/>
          <w:lang w:eastAsia="hr-HR"/>
        </w:rPr>
        <w:tab/>
        <w:t>Struktura manjka proračunskih korisnika iskazanog u izvršenju konsolidiranog proračuna PGŽ za prvo polugodište 2024. godine</w:t>
      </w:r>
    </w:p>
    <w:p w14:paraId="6EAA08FA" w14:textId="3D01AF4E" w:rsidR="00987502" w:rsidRPr="00BC1CA7" w:rsidRDefault="00D30AFC" w:rsidP="00987502">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eastAsia="hr-HR"/>
        </w:rPr>
      </w:pP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Pr>
          <w:rFonts w:ascii="Arial" w:eastAsia="Times New Roman" w:hAnsi="Arial" w:cs="Times New Roman"/>
          <w:sz w:val="24"/>
          <w:szCs w:val="24"/>
          <w:lang w:eastAsia="hr-HR"/>
        </w:rPr>
        <w:tab/>
      </w:r>
      <w:r w:rsidRPr="00BC1CA7">
        <w:rPr>
          <w:rFonts w:ascii="Arial" w:eastAsia="Times New Roman" w:hAnsi="Arial" w:cs="Times New Roman"/>
          <w:sz w:val="20"/>
          <w:szCs w:val="20"/>
          <w:lang w:eastAsia="hr-HR"/>
        </w:rPr>
        <w:tab/>
        <w:t>-u eurima</w:t>
      </w:r>
    </w:p>
    <w:tbl>
      <w:tblPr>
        <w:tblW w:w="7500" w:type="dxa"/>
        <w:jc w:val="center"/>
        <w:tblLook w:val="04A0" w:firstRow="1" w:lastRow="0" w:firstColumn="1" w:lastColumn="0" w:noHBand="0" w:noVBand="1"/>
      </w:tblPr>
      <w:tblGrid>
        <w:gridCol w:w="4860"/>
        <w:gridCol w:w="2640"/>
      </w:tblGrid>
      <w:tr w:rsidR="00987502" w:rsidRPr="00987502" w14:paraId="7F2E94C6" w14:textId="77777777" w:rsidTr="00987502">
        <w:trPr>
          <w:trHeight w:val="510"/>
          <w:jc w:val="center"/>
        </w:trPr>
        <w:tc>
          <w:tcPr>
            <w:tcW w:w="4860" w:type="dxa"/>
            <w:tcBorders>
              <w:top w:val="nil"/>
              <w:left w:val="nil"/>
              <w:bottom w:val="single" w:sz="4" w:space="0" w:color="auto"/>
              <w:right w:val="nil"/>
            </w:tcBorders>
            <w:shd w:val="clear" w:color="auto" w:fill="auto"/>
            <w:vAlign w:val="center"/>
            <w:hideMark/>
          </w:tcPr>
          <w:p w14:paraId="4FBEE7D4" w14:textId="77777777" w:rsidR="00987502" w:rsidRPr="00987502" w:rsidRDefault="00987502" w:rsidP="00987502">
            <w:pPr>
              <w:spacing w:after="0" w:line="240" w:lineRule="auto"/>
              <w:ind w:firstLineChars="100" w:firstLine="200"/>
              <w:jc w:val="center"/>
              <w:rPr>
                <w:rFonts w:ascii="Verdana" w:eastAsia="Times New Roman" w:hAnsi="Verdana" w:cs="Calibri"/>
                <w:b/>
                <w:bCs/>
                <w:color w:val="000000"/>
                <w:sz w:val="20"/>
                <w:szCs w:val="20"/>
                <w:lang w:eastAsia="hr-HR"/>
              </w:rPr>
            </w:pPr>
            <w:r w:rsidRPr="00987502">
              <w:rPr>
                <w:rFonts w:ascii="Verdana" w:eastAsia="Times New Roman" w:hAnsi="Verdana" w:cs="Calibri"/>
                <w:b/>
                <w:bCs/>
                <w:color w:val="000000"/>
                <w:sz w:val="20"/>
                <w:szCs w:val="20"/>
                <w:lang w:eastAsia="hr-HR"/>
              </w:rPr>
              <w:t>Proračunski korisnik  / grupa proračunskih korisnika</w:t>
            </w:r>
          </w:p>
        </w:tc>
        <w:tc>
          <w:tcPr>
            <w:tcW w:w="2640" w:type="dxa"/>
            <w:tcBorders>
              <w:top w:val="nil"/>
              <w:left w:val="nil"/>
              <w:bottom w:val="single" w:sz="4" w:space="0" w:color="auto"/>
              <w:right w:val="nil"/>
            </w:tcBorders>
            <w:shd w:val="clear" w:color="auto" w:fill="auto"/>
            <w:vAlign w:val="center"/>
            <w:hideMark/>
          </w:tcPr>
          <w:p w14:paraId="69D08296" w14:textId="77777777" w:rsidR="00987502" w:rsidRPr="00987502" w:rsidRDefault="00987502" w:rsidP="00987502">
            <w:pPr>
              <w:spacing w:after="0" w:line="240" w:lineRule="auto"/>
              <w:ind w:firstLineChars="100" w:firstLine="200"/>
              <w:jc w:val="center"/>
              <w:rPr>
                <w:rFonts w:ascii="Verdana" w:eastAsia="Times New Roman" w:hAnsi="Verdana" w:cs="Calibri"/>
                <w:b/>
                <w:bCs/>
                <w:color w:val="000000"/>
                <w:sz w:val="20"/>
                <w:szCs w:val="20"/>
                <w:lang w:eastAsia="hr-HR"/>
              </w:rPr>
            </w:pPr>
            <w:r w:rsidRPr="00987502">
              <w:rPr>
                <w:rFonts w:ascii="Verdana" w:eastAsia="Times New Roman" w:hAnsi="Verdana" w:cs="Calibri"/>
                <w:b/>
                <w:bCs/>
                <w:color w:val="000000"/>
                <w:sz w:val="20"/>
                <w:szCs w:val="20"/>
                <w:lang w:eastAsia="hr-HR"/>
              </w:rPr>
              <w:t>Višak / manjak</w:t>
            </w:r>
          </w:p>
        </w:tc>
      </w:tr>
      <w:tr w:rsidR="00987502" w:rsidRPr="00987502" w14:paraId="18FA5CB3" w14:textId="77777777" w:rsidTr="00987502">
        <w:trPr>
          <w:trHeight w:val="300"/>
          <w:jc w:val="center"/>
        </w:trPr>
        <w:tc>
          <w:tcPr>
            <w:tcW w:w="4860" w:type="dxa"/>
            <w:tcBorders>
              <w:top w:val="nil"/>
              <w:left w:val="nil"/>
              <w:bottom w:val="nil"/>
              <w:right w:val="nil"/>
            </w:tcBorders>
            <w:shd w:val="clear" w:color="auto" w:fill="auto"/>
            <w:vAlign w:val="bottom"/>
            <w:hideMark/>
          </w:tcPr>
          <w:p w14:paraId="390E596E" w14:textId="767CC8BD"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Ustanove srednjeg školstva i učen</w:t>
            </w:r>
            <w:r w:rsidRPr="00A17B6F">
              <w:rPr>
                <w:rFonts w:ascii="Arial" w:eastAsia="Times New Roman" w:hAnsi="Arial" w:cs="Arial"/>
                <w:color w:val="000000"/>
                <w:sz w:val="20"/>
                <w:szCs w:val="20"/>
                <w:lang w:eastAsia="hr-HR"/>
              </w:rPr>
              <w:t>i</w:t>
            </w:r>
            <w:r w:rsidRPr="00987502">
              <w:rPr>
                <w:rFonts w:ascii="Arial" w:eastAsia="Times New Roman" w:hAnsi="Arial" w:cs="Arial"/>
                <w:color w:val="000000"/>
                <w:sz w:val="20"/>
                <w:szCs w:val="20"/>
                <w:lang w:eastAsia="hr-HR"/>
              </w:rPr>
              <w:t>čki domovi</w:t>
            </w:r>
          </w:p>
        </w:tc>
        <w:tc>
          <w:tcPr>
            <w:tcW w:w="2640" w:type="dxa"/>
            <w:tcBorders>
              <w:top w:val="nil"/>
              <w:left w:val="nil"/>
              <w:bottom w:val="nil"/>
              <w:right w:val="nil"/>
            </w:tcBorders>
            <w:shd w:val="clear" w:color="auto" w:fill="auto"/>
            <w:vAlign w:val="bottom"/>
            <w:hideMark/>
          </w:tcPr>
          <w:p w14:paraId="7689A135"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1.152.480,24</w:t>
            </w:r>
          </w:p>
        </w:tc>
      </w:tr>
      <w:tr w:rsidR="00987502" w:rsidRPr="00987502" w14:paraId="4EB25F9C" w14:textId="77777777" w:rsidTr="00987502">
        <w:trPr>
          <w:trHeight w:val="300"/>
          <w:jc w:val="center"/>
        </w:trPr>
        <w:tc>
          <w:tcPr>
            <w:tcW w:w="4860" w:type="dxa"/>
            <w:tcBorders>
              <w:top w:val="nil"/>
              <w:left w:val="nil"/>
              <w:bottom w:val="nil"/>
              <w:right w:val="nil"/>
            </w:tcBorders>
            <w:shd w:val="clear" w:color="auto" w:fill="auto"/>
            <w:vAlign w:val="bottom"/>
            <w:hideMark/>
          </w:tcPr>
          <w:p w14:paraId="57C30EFA"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Ustanove osnovnog školstva</w:t>
            </w:r>
          </w:p>
        </w:tc>
        <w:tc>
          <w:tcPr>
            <w:tcW w:w="2640" w:type="dxa"/>
            <w:tcBorders>
              <w:top w:val="nil"/>
              <w:left w:val="nil"/>
              <w:bottom w:val="nil"/>
              <w:right w:val="nil"/>
            </w:tcBorders>
            <w:shd w:val="clear" w:color="auto" w:fill="auto"/>
            <w:vAlign w:val="bottom"/>
            <w:hideMark/>
          </w:tcPr>
          <w:p w14:paraId="71225F63"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780.484,31</w:t>
            </w:r>
          </w:p>
        </w:tc>
      </w:tr>
      <w:tr w:rsidR="00987502" w:rsidRPr="00987502" w14:paraId="41ACECC5" w14:textId="77777777" w:rsidTr="00987502">
        <w:trPr>
          <w:trHeight w:val="300"/>
          <w:jc w:val="center"/>
        </w:trPr>
        <w:tc>
          <w:tcPr>
            <w:tcW w:w="4860" w:type="dxa"/>
            <w:tcBorders>
              <w:top w:val="nil"/>
              <w:left w:val="nil"/>
              <w:bottom w:val="nil"/>
              <w:right w:val="nil"/>
            </w:tcBorders>
            <w:shd w:val="clear" w:color="auto" w:fill="auto"/>
            <w:vAlign w:val="bottom"/>
            <w:hideMark/>
          </w:tcPr>
          <w:p w14:paraId="2C0ACD3F"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JU Priroda</w:t>
            </w:r>
          </w:p>
        </w:tc>
        <w:tc>
          <w:tcPr>
            <w:tcW w:w="2640" w:type="dxa"/>
            <w:tcBorders>
              <w:top w:val="nil"/>
              <w:left w:val="nil"/>
              <w:bottom w:val="nil"/>
              <w:right w:val="nil"/>
            </w:tcBorders>
            <w:shd w:val="clear" w:color="auto" w:fill="auto"/>
            <w:vAlign w:val="bottom"/>
            <w:hideMark/>
          </w:tcPr>
          <w:p w14:paraId="3570C11B"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266.434,61</w:t>
            </w:r>
          </w:p>
        </w:tc>
      </w:tr>
      <w:tr w:rsidR="00987502" w:rsidRPr="00987502" w14:paraId="7C667DA2" w14:textId="77777777" w:rsidTr="00987502">
        <w:trPr>
          <w:trHeight w:val="300"/>
          <w:jc w:val="center"/>
        </w:trPr>
        <w:tc>
          <w:tcPr>
            <w:tcW w:w="4860" w:type="dxa"/>
            <w:tcBorders>
              <w:top w:val="nil"/>
              <w:left w:val="nil"/>
              <w:bottom w:val="nil"/>
              <w:right w:val="nil"/>
            </w:tcBorders>
            <w:shd w:val="clear" w:color="auto" w:fill="auto"/>
            <w:vAlign w:val="bottom"/>
            <w:hideMark/>
          </w:tcPr>
          <w:p w14:paraId="220411BE"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Regionalna razvojna agencija PGŽ</w:t>
            </w:r>
          </w:p>
        </w:tc>
        <w:tc>
          <w:tcPr>
            <w:tcW w:w="2640" w:type="dxa"/>
            <w:tcBorders>
              <w:top w:val="nil"/>
              <w:left w:val="nil"/>
              <w:bottom w:val="nil"/>
              <w:right w:val="nil"/>
            </w:tcBorders>
            <w:shd w:val="clear" w:color="auto" w:fill="auto"/>
            <w:vAlign w:val="bottom"/>
            <w:hideMark/>
          </w:tcPr>
          <w:p w14:paraId="11296724"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255.447,34</w:t>
            </w:r>
          </w:p>
        </w:tc>
      </w:tr>
      <w:tr w:rsidR="00987502" w:rsidRPr="00987502" w14:paraId="6C74DD3A" w14:textId="77777777" w:rsidTr="00987502">
        <w:trPr>
          <w:trHeight w:val="300"/>
          <w:jc w:val="center"/>
        </w:trPr>
        <w:tc>
          <w:tcPr>
            <w:tcW w:w="4860" w:type="dxa"/>
            <w:tcBorders>
              <w:top w:val="nil"/>
              <w:left w:val="nil"/>
              <w:bottom w:val="nil"/>
              <w:right w:val="nil"/>
            </w:tcBorders>
            <w:shd w:val="clear" w:color="auto" w:fill="auto"/>
            <w:vAlign w:val="bottom"/>
            <w:hideMark/>
          </w:tcPr>
          <w:p w14:paraId="02EE9A7B"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Pomorski i povijesni muzej Hrvatskog primorja</w:t>
            </w:r>
          </w:p>
        </w:tc>
        <w:tc>
          <w:tcPr>
            <w:tcW w:w="2640" w:type="dxa"/>
            <w:tcBorders>
              <w:top w:val="nil"/>
              <w:left w:val="nil"/>
              <w:bottom w:val="nil"/>
              <w:right w:val="nil"/>
            </w:tcBorders>
            <w:shd w:val="clear" w:color="auto" w:fill="auto"/>
            <w:vAlign w:val="bottom"/>
            <w:hideMark/>
          </w:tcPr>
          <w:p w14:paraId="16A90015"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108.847,51</w:t>
            </w:r>
          </w:p>
        </w:tc>
      </w:tr>
      <w:tr w:rsidR="00987502" w:rsidRPr="00987502" w14:paraId="6729C8B6" w14:textId="77777777" w:rsidTr="00987502">
        <w:trPr>
          <w:trHeight w:val="300"/>
          <w:jc w:val="center"/>
        </w:trPr>
        <w:tc>
          <w:tcPr>
            <w:tcW w:w="4860" w:type="dxa"/>
            <w:tcBorders>
              <w:top w:val="nil"/>
              <w:left w:val="nil"/>
              <w:bottom w:val="nil"/>
              <w:right w:val="nil"/>
            </w:tcBorders>
            <w:shd w:val="clear" w:color="auto" w:fill="auto"/>
            <w:vAlign w:val="bottom"/>
            <w:hideMark/>
          </w:tcPr>
          <w:p w14:paraId="5A57E25F"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JU Zavod za prostorno uređenje PGŽ</w:t>
            </w:r>
          </w:p>
        </w:tc>
        <w:tc>
          <w:tcPr>
            <w:tcW w:w="2640" w:type="dxa"/>
            <w:tcBorders>
              <w:top w:val="nil"/>
              <w:left w:val="nil"/>
              <w:bottom w:val="nil"/>
              <w:right w:val="nil"/>
            </w:tcBorders>
            <w:shd w:val="clear" w:color="auto" w:fill="auto"/>
            <w:vAlign w:val="bottom"/>
            <w:hideMark/>
          </w:tcPr>
          <w:p w14:paraId="78942A5A"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82.630,54</w:t>
            </w:r>
          </w:p>
        </w:tc>
      </w:tr>
      <w:tr w:rsidR="00987502" w:rsidRPr="00987502" w14:paraId="234D8470" w14:textId="77777777" w:rsidTr="00987502">
        <w:trPr>
          <w:trHeight w:val="300"/>
          <w:jc w:val="center"/>
        </w:trPr>
        <w:tc>
          <w:tcPr>
            <w:tcW w:w="4860" w:type="dxa"/>
            <w:tcBorders>
              <w:top w:val="nil"/>
              <w:left w:val="nil"/>
              <w:bottom w:val="nil"/>
              <w:right w:val="nil"/>
            </w:tcBorders>
            <w:shd w:val="clear" w:color="auto" w:fill="auto"/>
            <w:vAlign w:val="bottom"/>
            <w:hideMark/>
          </w:tcPr>
          <w:p w14:paraId="4905DE6F"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Regionalna energetska agencija Kvarner</w:t>
            </w:r>
          </w:p>
        </w:tc>
        <w:tc>
          <w:tcPr>
            <w:tcW w:w="2640" w:type="dxa"/>
            <w:tcBorders>
              <w:top w:val="nil"/>
              <w:left w:val="nil"/>
              <w:bottom w:val="nil"/>
              <w:right w:val="nil"/>
            </w:tcBorders>
            <w:shd w:val="clear" w:color="auto" w:fill="auto"/>
            <w:vAlign w:val="bottom"/>
            <w:hideMark/>
          </w:tcPr>
          <w:p w14:paraId="01332CE2"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62.821,92</w:t>
            </w:r>
          </w:p>
        </w:tc>
      </w:tr>
      <w:tr w:rsidR="00987502" w:rsidRPr="00987502" w14:paraId="2DA3A304" w14:textId="77777777" w:rsidTr="00987502">
        <w:trPr>
          <w:trHeight w:val="300"/>
          <w:jc w:val="center"/>
        </w:trPr>
        <w:tc>
          <w:tcPr>
            <w:tcW w:w="4860" w:type="dxa"/>
            <w:tcBorders>
              <w:top w:val="nil"/>
              <w:left w:val="nil"/>
              <w:bottom w:val="nil"/>
              <w:right w:val="nil"/>
            </w:tcBorders>
            <w:shd w:val="clear" w:color="auto" w:fill="auto"/>
            <w:vAlign w:val="bottom"/>
            <w:hideMark/>
          </w:tcPr>
          <w:p w14:paraId="6FDE8837"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Centar za poljoprivredu i ruralni razvoj PGŽ</w:t>
            </w:r>
          </w:p>
        </w:tc>
        <w:tc>
          <w:tcPr>
            <w:tcW w:w="2640" w:type="dxa"/>
            <w:tcBorders>
              <w:top w:val="nil"/>
              <w:left w:val="nil"/>
              <w:bottom w:val="nil"/>
              <w:right w:val="nil"/>
            </w:tcBorders>
            <w:shd w:val="clear" w:color="auto" w:fill="auto"/>
            <w:vAlign w:val="bottom"/>
            <w:hideMark/>
          </w:tcPr>
          <w:p w14:paraId="471C8EEB"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60.841,61</w:t>
            </w:r>
          </w:p>
        </w:tc>
      </w:tr>
      <w:tr w:rsidR="00987502" w:rsidRPr="00987502" w14:paraId="35D22460" w14:textId="77777777" w:rsidTr="00987502">
        <w:trPr>
          <w:trHeight w:val="300"/>
          <w:jc w:val="center"/>
        </w:trPr>
        <w:tc>
          <w:tcPr>
            <w:tcW w:w="4860" w:type="dxa"/>
            <w:tcBorders>
              <w:top w:val="nil"/>
              <w:left w:val="nil"/>
              <w:bottom w:val="nil"/>
              <w:right w:val="nil"/>
            </w:tcBorders>
            <w:shd w:val="clear" w:color="auto" w:fill="auto"/>
            <w:vAlign w:val="bottom"/>
            <w:hideMark/>
          </w:tcPr>
          <w:p w14:paraId="79B19B87"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Prirodoslovni muzej Rijeka</w:t>
            </w:r>
          </w:p>
        </w:tc>
        <w:tc>
          <w:tcPr>
            <w:tcW w:w="2640" w:type="dxa"/>
            <w:tcBorders>
              <w:top w:val="nil"/>
              <w:left w:val="nil"/>
              <w:bottom w:val="nil"/>
              <w:right w:val="nil"/>
            </w:tcBorders>
            <w:shd w:val="clear" w:color="auto" w:fill="auto"/>
            <w:vAlign w:val="bottom"/>
            <w:hideMark/>
          </w:tcPr>
          <w:p w14:paraId="2DA88A66"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32.777,61</w:t>
            </w:r>
          </w:p>
        </w:tc>
      </w:tr>
      <w:tr w:rsidR="00987502" w:rsidRPr="00987502" w14:paraId="167A8413" w14:textId="77777777" w:rsidTr="00987502">
        <w:trPr>
          <w:trHeight w:val="300"/>
          <w:jc w:val="center"/>
        </w:trPr>
        <w:tc>
          <w:tcPr>
            <w:tcW w:w="4860" w:type="dxa"/>
            <w:tcBorders>
              <w:top w:val="nil"/>
              <w:left w:val="nil"/>
              <w:bottom w:val="nil"/>
              <w:right w:val="nil"/>
            </w:tcBorders>
            <w:shd w:val="clear" w:color="auto" w:fill="auto"/>
            <w:vAlign w:val="bottom"/>
            <w:hideMark/>
          </w:tcPr>
          <w:p w14:paraId="59CA4EFD"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lastRenderedPageBreak/>
              <w:t xml:space="preserve">Ustanova </w:t>
            </w:r>
            <w:proofErr w:type="spellStart"/>
            <w:r w:rsidRPr="00987502">
              <w:rPr>
                <w:rFonts w:ascii="Arial" w:eastAsia="Times New Roman" w:hAnsi="Arial" w:cs="Arial"/>
                <w:color w:val="000000"/>
                <w:sz w:val="20"/>
                <w:szCs w:val="20"/>
                <w:lang w:eastAsia="hr-HR"/>
              </w:rPr>
              <w:t>I.M.Ronjgov</w:t>
            </w:r>
            <w:proofErr w:type="spellEnd"/>
          </w:p>
        </w:tc>
        <w:tc>
          <w:tcPr>
            <w:tcW w:w="2640" w:type="dxa"/>
            <w:tcBorders>
              <w:top w:val="nil"/>
              <w:left w:val="nil"/>
              <w:bottom w:val="nil"/>
              <w:right w:val="nil"/>
            </w:tcBorders>
            <w:shd w:val="clear" w:color="auto" w:fill="auto"/>
            <w:vAlign w:val="bottom"/>
            <w:hideMark/>
          </w:tcPr>
          <w:p w14:paraId="41453121"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1.992,09</w:t>
            </w:r>
          </w:p>
        </w:tc>
      </w:tr>
      <w:tr w:rsidR="00987502" w:rsidRPr="00987502" w14:paraId="63210F93" w14:textId="77777777" w:rsidTr="00987502">
        <w:trPr>
          <w:trHeight w:val="300"/>
          <w:jc w:val="center"/>
        </w:trPr>
        <w:tc>
          <w:tcPr>
            <w:tcW w:w="4860" w:type="dxa"/>
            <w:tcBorders>
              <w:top w:val="nil"/>
              <w:left w:val="nil"/>
              <w:bottom w:val="nil"/>
              <w:right w:val="nil"/>
            </w:tcBorders>
            <w:shd w:val="clear" w:color="auto" w:fill="auto"/>
            <w:vAlign w:val="bottom"/>
            <w:hideMark/>
          </w:tcPr>
          <w:p w14:paraId="75299282"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Ustanove socijalne skrbi</w:t>
            </w:r>
          </w:p>
        </w:tc>
        <w:tc>
          <w:tcPr>
            <w:tcW w:w="2640" w:type="dxa"/>
            <w:tcBorders>
              <w:top w:val="nil"/>
              <w:left w:val="nil"/>
              <w:bottom w:val="nil"/>
              <w:right w:val="nil"/>
            </w:tcBorders>
            <w:shd w:val="clear" w:color="auto" w:fill="auto"/>
            <w:vAlign w:val="bottom"/>
            <w:hideMark/>
          </w:tcPr>
          <w:p w14:paraId="56E67B9D"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-142.866,68</w:t>
            </w:r>
          </w:p>
        </w:tc>
      </w:tr>
      <w:tr w:rsidR="00987502" w:rsidRPr="00987502" w14:paraId="22A84A2B" w14:textId="77777777" w:rsidTr="00987502">
        <w:trPr>
          <w:trHeight w:val="300"/>
          <w:jc w:val="center"/>
        </w:trPr>
        <w:tc>
          <w:tcPr>
            <w:tcW w:w="4860" w:type="dxa"/>
            <w:tcBorders>
              <w:top w:val="nil"/>
              <w:left w:val="nil"/>
              <w:bottom w:val="nil"/>
              <w:right w:val="nil"/>
            </w:tcBorders>
            <w:shd w:val="clear" w:color="auto" w:fill="auto"/>
            <w:vAlign w:val="bottom"/>
            <w:hideMark/>
          </w:tcPr>
          <w:p w14:paraId="065F5691" w14:textId="77777777" w:rsidR="00987502" w:rsidRPr="00987502" w:rsidRDefault="00987502" w:rsidP="00987502">
            <w:pPr>
              <w:spacing w:after="0" w:line="240" w:lineRule="auto"/>
              <w:ind w:firstLineChars="100" w:firstLine="200"/>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Ustanove zdravstva</w:t>
            </w:r>
          </w:p>
        </w:tc>
        <w:tc>
          <w:tcPr>
            <w:tcW w:w="2640" w:type="dxa"/>
            <w:tcBorders>
              <w:top w:val="nil"/>
              <w:left w:val="nil"/>
              <w:bottom w:val="nil"/>
              <w:right w:val="nil"/>
            </w:tcBorders>
            <w:shd w:val="clear" w:color="auto" w:fill="auto"/>
            <w:vAlign w:val="bottom"/>
            <w:hideMark/>
          </w:tcPr>
          <w:p w14:paraId="1288BC30" w14:textId="77777777" w:rsidR="00987502" w:rsidRPr="00987502" w:rsidRDefault="00987502" w:rsidP="00987502">
            <w:pPr>
              <w:spacing w:after="0" w:line="240" w:lineRule="auto"/>
              <w:ind w:firstLineChars="100" w:firstLine="200"/>
              <w:jc w:val="right"/>
              <w:rPr>
                <w:rFonts w:ascii="Arial" w:eastAsia="Times New Roman" w:hAnsi="Arial" w:cs="Arial"/>
                <w:color w:val="000000"/>
                <w:sz w:val="20"/>
                <w:szCs w:val="20"/>
                <w:lang w:eastAsia="hr-HR"/>
              </w:rPr>
            </w:pPr>
            <w:r w:rsidRPr="00987502">
              <w:rPr>
                <w:rFonts w:ascii="Arial" w:eastAsia="Times New Roman" w:hAnsi="Arial" w:cs="Arial"/>
                <w:color w:val="000000"/>
                <w:sz w:val="20"/>
                <w:szCs w:val="20"/>
                <w:lang w:eastAsia="hr-HR"/>
              </w:rPr>
              <w:t>-3.388.335,36</w:t>
            </w:r>
          </w:p>
        </w:tc>
      </w:tr>
      <w:tr w:rsidR="00987502" w:rsidRPr="00987502" w14:paraId="0A009482" w14:textId="77777777" w:rsidTr="00987502">
        <w:trPr>
          <w:trHeight w:val="300"/>
          <w:jc w:val="center"/>
        </w:trPr>
        <w:tc>
          <w:tcPr>
            <w:tcW w:w="4860" w:type="dxa"/>
            <w:tcBorders>
              <w:top w:val="single" w:sz="4" w:space="0" w:color="auto"/>
              <w:left w:val="nil"/>
              <w:bottom w:val="nil"/>
              <w:right w:val="nil"/>
            </w:tcBorders>
            <w:shd w:val="clear" w:color="auto" w:fill="auto"/>
            <w:vAlign w:val="bottom"/>
            <w:hideMark/>
          </w:tcPr>
          <w:p w14:paraId="2D320719" w14:textId="77777777" w:rsidR="00987502" w:rsidRPr="00987502" w:rsidRDefault="00987502" w:rsidP="00987502">
            <w:pPr>
              <w:spacing w:after="0" w:line="240" w:lineRule="auto"/>
              <w:ind w:firstLineChars="100" w:firstLine="200"/>
              <w:rPr>
                <w:rFonts w:ascii="Arial" w:eastAsia="Times New Roman" w:hAnsi="Arial" w:cs="Arial"/>
                <w:b/>
                <w:bCs/>
                <w:color w:val="000000"/>
                <w:sz w:val="20"/>
                <w:szCs w:val="20"/>
                <w:lang w:eastAsia="hr-HR"/>
              </w:rPr>
            </w:pPr>
            <w:r w:rsidRPr="00987502">
              <w:rPr>
                <w:rFonts w:ascii="Arial" w:eastAsia="Times New Roman" w:hAnsi="Arial" w:cs="Arial"/>
                <w:b/>
                <w:bCs/>
                <w:color w:val="000000"/>
                <w:sz w:val="20"/>
                <w:szCs w:val="20"/>
                <w:lang w:eastAsia="hr-HR"/>
              </w:rPr>
              <w:t>Sveukupno</w:t>
            </w:r>
          </w:p>
        </w:tc>
        <w:tc>
          <w:tcPr>
            <w:tcW w:w="2640" w:type="dxa"/>
            <w:tcBorders>
              <w:top w:val="single" w:sz="4" w:space="0" w:color="auto"/>
              <w:left w:val="nil"/>
              <w:bottom w:val="nil"/>
              <w:right w:val="nil"/>
            </w:tcBorders>
            <w:shd w:val="clear" w:color="auto" w:fill="auto"/>
            <w:vAlign w:val="bottom"/>
            <w:hideMark/>
          </w:tcPr>
          <w:p w14:paraId="73471BC0" w14:textId="77777777" w:rsidR="00987502" w:rsidRPr="00987502" w:rsidRDefault="00987502" w:rsidP="00987502">
            <w:pPr>
              <w:spacing w:after="0" w:line="240" w:lineRule="auto"/>
              <w:ind w:firstLineChars="100" w:firstLine="200"/>
              <w:jc w:val="right"/>
              <w:rPr>
                <w:rFonts w:ascii="Arial" w:eastAsia="Times New Roman" w:hAnsi="Arial" w:cs="Arial"/>
                <w:b/>
                <w:bCs/>
                <w:color w:val="000000"/>
                <w:sz w:val="20"/>
                <w:szCs w:val="20"/>
                <w:lang w:eastAsia="hr-HR"/>
              </w:rPr>
            </w:pPr>
            <w:r w:rsidRPr="00987502">
              <w:rPr>
                <w:rFonts w:ascii="Arial" w:eastAsia="Times New Roman" w:hAnsi="Arial" w:cs="Arial"/>
                <w:b/>
                <w:bCs/>
                <w:color w:val="000000"/>
                <w:sz w:val="20"/>
                <w:szCs w:val="20"/>
                <w:lang w:eastAsia="hr-HR"/>
              </w:rPr>
              <w:t>-726.444,26</w:t>
            </w:r>
          </w:p>
        </w:tc>
      </w:tr>
    </w:tbl>
    <w:p w14:paraId="29E4D62F" w14:textId="4AF98744" w:rsidR="00987502" w:rsidRPr="00A17B6F" w:rsidRDefault="00987502" w:rsidP="00987502">
      <w:pPr>
        <w:overflowPunct w:val="0"/>
        <w:autoSpaceDE w:val="0"/>
        <w:autoSpaceDN w:val="0"/>
        <w:adjustRightInd w:val="0"/>
        <w:spacing w:after="120" w:line="240" w:lineRule="auto"/>
        <w:jc w:val="both"/>
        <w:textAlignment w:val="baseline"/>
        <w:rPr>
          <w:rFonts w:ascii="Arial" w:eastAsia="Times New Roman" w:hAnsi="Arial" w:cs="Times New Roman"/>
          <w:sz w:val="24"/>
          <w:szCs w:val="24"/>
          <w:lang w:eastAsia="hr-HR"/>
        </w:rPr>
      </w:pPr>
    </w:p>
    <w:p w14:paraId="1D1A826A" w14:textId="3F1030C5" w:rsidR="00F9738D" w:rsidRPr="00A17B6F" w:rsidRDefault="00087289" w:rsidP="00B50575">
      <w:pPr>
        <w:overflowPunct w:val="0"/>
        <w:autoSpaceDE w:val="0"/>
        <w:autoSpaceDN w:val="0"/>
        <w:adjustRightInd w:val="0"/>
        <w:spacing w:after="0" w:line="240" w:lineRule="auto"/>
        <w:jc w:val="both"/>
        <w:textAlignment w:val="baseline"/>
        <w:rPr>
          <w:rFonts w:ascii="Arial" w:eastAsia="Times New Roman" w:hAnsi="Arial" w:cs="Arial"/>
          <w:sz w:val="24"/>
          <w:szCs w:val="24"/>
          <w:lang w:eastAsia="hr-HR"/>
        </w:rPr>
      </w:pPr>
      <w:r w:rsidRPr="00A17B6F">
        <w:rPr>
          <w:rFonts w:ascii="Arial" w:eastAsia="Times New Roman" w:hAnsi="Arial" w:cs="Arial"/>
          <w:color w:val="FF0000"/>
          <w:sz w:val="24"/>
          <w:szCs w:val="20"/>
          <w:lang w:eastAsia="hr-HR"/>
        </w:rPr>
        <w:tab/>
      </w:r>
      <w:r w:rsidR="00F9738D" w:rsidRPr="00A17B6F">
        <w:rPr>
          <w:rFonts w:ascii="Arial" w:eastAsia="Times New Roman" w:hAnsi="Arial" w:cs="Arial"/>
          <w:sz w:val="24"/>
          <w:szCs w:val="24"/>
          <w:lang w:eastAsia="hr-HR"/>
        </w:rPr>
        <w:t xml:space="preserve">U nastavku </w:t>
      </w:r>
      <w:r w:rsidR="00987502" w:rsidRPr="00A17B6F">
        <w:rPr>
          <w:rFonts w:ascii="Arial" w:eastAsia="Times New Roman" w:hAnsi="Arial" w:cs="Arial"/>
          <w:sz w:val="24"/>
          <w:szCs w:val="24"/>
          <w:lang w:eastAsia="hr-HR"/>
        </w:rPr>
        <w:t>obrazloženja</w:t>
      </w:r>
      <w:r w:rsidR="00F9738D" w:rsidRPr="00A17B6F">
        <w:rPr>
          <w:rFonts w:ascii="Arial" w:eastAsia="Times New Roman" w:hAnsi="Arial" w:cs="Arial"/>
          <w:sz w:val="24"/>
          <w:szCs w:val="24"/>
          <w:lang w:eastAsia="hr-HR"/>
        </w:rPr>
        <w:t xml:space="preserve"> dan je osvrt na izvršenje </w:t>
      </w:r>
      <w:r w:rsidR="005D2546" w:rsidRPr="00A17B6F">
        <w:rPr>
          <w:rFonts w:ascii="Arial" w:eastAsia="Times New Roman" w:hAnsi="Arial" w:cs="Arial"/>
          <w:sz w:val="24"/>
          <w:szCs w:val="24"/>
          <w:lang w:eastAsia="hr-HR"/>
        </w:rPr>
        <w:t xml:space="preserve">prihoda i primitaka te rashoda i izdataka </w:t>
      </w:r>
      <w:r w:rsidR="00F9738D" w:rsidRPr="00A17B6F">
        <w:rPr>
          <w:rFonts w:ascii="Arial" w:eastAsia="Times New Roman" w:hAnsi="Arial" w:cs="Arial"/>
          <w:sz w:val="24"/>
          <w:szCs w:val="24"/>
          <w:lang w:eastAsia="hr-HR"/>
        </w:rPr>
        <w:t>u odnosu na zadnji, odnosno Tekući plan Proračuna za 202</w:t>
      </w:r>
      <w:r w:rsidR="00FC4B6B" w:rsidRPr="00A17B6F">
        <w:rPr>
          <w:rFonts w:ascii="Arial" w:eastAsia="Times New Roman" w:hAnsi="Arial" w:cs="Arial"/>
          <w:sz w:val="24"/>
          <w:szCs w:val="24"/>
          <w:lang w:eastAsia="hr-HR"/>
        </w:rPr>
        <w:t>4</w:t>
      </w:r>
      <w:r w:rsidR="00F9738D" w:rsidRPr="00A17B6F">
        <w:rPr>
          <w:rFonts w:ascii="Arial" w:eastAsia="Times New Roman" w:hAnsi="Arial" w:cs="Arial"/>
          <w:sz w:val="24"/>
          <w:szCs w:val="24"/>
          <w:lang w:eastAsia="hr-HR"/>
        </w:rPr>
        <w:t>. godinu (Izmjene i dopune s uključenim preraspodjelama) kao i na izvršenje prethodne godine.</w:t>
      </w:r>
    </w:p>
    <w:p w14:paraId="762CD224" w14:textId="3086AB9C" w:rsidR="008A7EE3" w:rsidRPr="00A17B6F" w:rsidRDefault="008A7EE3"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p>
    <w:p w14:paraId="489B345D" w14:textId="77777777" w:rsidR="00087289" w:rsidRPr="00A17B6F"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24"/>
          <w:szCs w:val="20"/>
          <w:lang w:eastAsia="hr-HR"/>
        </w:rPr>
      </w:pPr>
      <w:r w:rsidRPr="00A17B6F">
        <w:rPr>
          <w:rFonts w:ascii="Arial" w:eastAsia="Times New Roman" w:hAnsi="Arial" w:cs="Times New Roman"/>
          <w:b/>
          <w:bCs/>
          <w:sz w:val="24"/>
          <w:szCs w:val="20"/>
          <w:lang w:eastAsia="hr-HR"/>
        </w:rPr>
        <w:t>PRIHODI / PRIMICI</w:t>
      </w:r>
    </w:p>
    <w:p w14:paraId="0534C1A2" w14:textId="77777777" w:rsidR="00087289" w:rsidRPr="00BC1CA7"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24"/>
          <w:szCs w:val="24"/>
          <w:lang w:eastAsia="hr-HR"/>
        </w:rPr>
      </w:pPr>
    </w:p>
    <w:p w14:paraId="3EBAA430" w14:textId="3B21D5C1" w:rsidR="007955F1" w:rsidRPr="00A17B6F" w:rsidRDefault="002877D8" w:rsidP="002877D8">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A17B6F">
        <w:rPr>
          <w:rFonts w:ascii="Arial" w:eastAsia="Times New Roman" w:hAnsi="Arial" w:cs="Times New Roman"/>
          <w:bCs/>
          <w:sz w:val="24"/>
          <w:szCs w:val="20"/>
          <w:lang w:eastAsia="hr-HR"/>
        </w:rPr>
        <w:t>Ukupni prihodi i primici u prvoj polovici 202</w:t>
      </w:r>
      <w:r w:rsidR="00CA46B7" w:rsidRPr="00A17B6F">
        <w:rPr>
          <w:rFonts w:ascii="Arial" w:eastAsia="Times New Roman" w:hAnsi="Arial" w:cs="Times New Roman"/>
          <w:bCs/>
          <w:sz w:val="24"/>
          <w:szCs w:val="20"/>
          <w:lang w:eastAsia="hr-HR"/>
        </w:rPr>
        <w:t>4</w:t>
      </w:r>
      <w:r w:rsidRPr="00A17B6F">
        <w:rPr>
          <w:rFonts w:ascii="Arial" w:eastAsia="Times New Roman" w:hAnsi="Arial" w:cs="Times New Roman"/>
          <w:bCs/>
          <w:sz w:val="24"/>
          <w:szCs w:val="20"/>
          <w:lang w:eastAsia="hr-HR"/>
        </w:rPr>
        <w:t xml:space="preserve">. godine naplaćeni su na razini konsolidiranog Proračuna u iznosu </w:t>
      </w:r>
      <w:r w:rsidR="007955F1" w:rsidRPr="00A17B6F">
        <w:rPr>
          <w:rFonts w:ascii="Arial" w:eastAsia="Times New Roman" w:hAnsi="Arial" w:cs="Arial"/>
          <w:sz w:val="24"/>
          <w:szCs w:val="24"/>
          <w:lang w:eastAsia="hr-HR"/>
        </w:rPr>
        <w:t>133.309.481,33</w:t>
      </w:r>
      <w:r w:rsidR="005D2546" w:rsidRPr="00A17B6F">
        <w:rPr>
          <w:rFonts w:ascii="Arial" w:eastAsia="Times New Roman" w:hAnsi="Arial" w:cs="Arial"/>
          <w:sz w:val="24"/>
          <w:szCs w:val="24"/>
          <w:lang w:eastAsia="hr-HR"/>
        </w:rPr>
        <w:t xml:space="preserve"> eura</w:t>
      </w:r>
      <w:r w:rsidRPr="00A17B6F">
        <w:rPr>
          <w:rFonts w:ascii="Arial" w:eastAsia="Times New Roman" w:hAnsi="Arial" w:cs="Times New Roman"/>
          <w:bCs/>
          <w:sz w:val="24"/>
          <w:szCs w:val="20"/>
          <w:lang w:eastAsia="hr-HR"/>
        </w:rPr>
        <w:t xml:space="preserve">, odnosno </w:t>
      </w:r>
      <w:r w:rsidR="007955F1" w:rsidRPr="00A17B6F">
        <w:rPr>
          <w:rFonts w:ascii="Arial" w:eastAsia="Times New Roman" w:hAnsi="Arial" w:cs="Times New Roman"/>
          <w:bCs/>
          <w:sz w:val="24"/>
          <w:szCs w:val="20"/>
          <w:lang w:eastAsia="hr-HR"/>
        </w:rPr>
        <w:t>47,05</w:t>
      </w:r>
      <w:r w:rsidRPr="00A17B6F">
        <w:rPr>
          <w:rFonts w:ascii="Arial" w:eastAsia="Times New Roman" w:hAnsi="Arial" w:cs="Times New Roman"/>
          <w:bCs/>
          <w:sz w:val="24"/>
          <w:szCs w:val="20"/>
          <w:lang w:eastAsia="hr-HR"/>
        </w:rPr>
        <w:t xml:space="preserve">% godišnjeg plana. Od navedenog iznosa, </w:t>
      </w:r>
      <w:r w:rsidR="007955F1" w:rsidRPr="00A17B6F">
        <w:rPr>
          <w:rFonts w:ascii="Arial" w:eastAsia="Times New Roman" w:hAnsi="Arial" w:cs="Times New Roman"/>
          <w:bCs/>
          <w:sz w:val="24"/>
          <w:szCs w:val="20"/>
          <w:lang w:eastAsia="hr-HR"/>
        </w:rPr>
        <w:t>36.998.988,64</w:t>
      </w:r>
      <w:r w:rsidR="005D2546" w:rsidRPr="00A17B6F">
        <w:rPr>
          <w:rFonts w:ascii="Arial" w:eastAsia="Times New Roman" w:hAnsi="Arial" w:cs="Times New Roman"/>
          <w:bCs/>
          <w:sz w:val="24"/>
          <w:szCs w:val="20"/>
          <w:lang w:eastAsia="hr-HR"/>
        </w:rPr>
        <w:t xml:space="preserve"> eura</w:t>
      </w:r>
      <w:r w:rsidRPr="00A17B6F">
        <w:rPr>
          <w:rFonts w:ascii="Arial" w:eastAsia="Times New Roman" w:hAnsi="Arial" w:cs="Times New Roman"/>
          <w:bCs/>
          <w:sz w:val="24"/>
          <w:szCs w:val="20"/>
          <w:lang w:eastAsia="hr-HR"/>
        </w:rPr>
        <w:t xml:space="preserve"> odnosi se na ukupne prihode i primitke Županije, dok se </w:t>
      </w:r>
      <w:r w:rsidR="007955F1" w:rsidRPr="00A17B6F">
        <w:rPr>
          <w:rFonts w:ascii="Arial" w:eastAsia="Times New Roman" w:hAnsi="Arial" w:cs="Times New Roman"/>
          <w:bCs/>
          <w:sz w:val="24"/>
          <w:szCs w:val="20"/>
          <w:lang w:eastAsia="hr-HR"/>
        </w:rPr>
        <w:t>96.310.492,69</w:t>
      </w:r>
      <w:r w:rsidR="005D2546" w:rsidRPr="00A17B6F">
        <w:rPr>
          <w:rFonts w:ascii="Arial" w:eastAsia="Times New Roman" w:hAnsi="Arial" w:cs="Times New Roman"/>
          <w:bCs/>
          <w:sz w:val="24"/>
          <w:szCs w:val="20"/>
          <w:lang w:eastAsia="hr-HR"/>
        </w:rPr>
        <w:t xml:space="preserve"> eura</w:t>
      </w:r>
      <w:r w:rsidRPr="00A17B6F">
        <w:rPr>
          <w:rFonts w:ascii="Arial" w:eastAsia="Times New Roman" w:hAnsi="Arial" w:cs="Times New Roman"/>
          <w:bCs/>
          <w:sz w:val="24"/>
          <w:szCs w:val="20"/>
          <w:lang w:eastAsia="hr-HR"/>
        </w:rPr>
        <w:t xml:space="preserve"> odnosi na ukupne prihode i primitke županijskih proračunskih korisnika. U odnosu na ukupno naplaćene prihode i primitke u istom razdoblju prethodne godine, naplata prihoda i primitaka konsolidiranog Proračuna u prvoj polovici 202</w:t>
      </w:r>
      <w:r w:rsidR="007955F1" w:rsidRPr="00A17B6F">
        <w:rPr>
          <w:rFonts w:ascii="Arial" w:eastAsia="Times New Roman" w:hAnsi="Arial" w:cs="Times New Roman"/>
          <w:bCs/>
          <w:sz w:val="24"/>
          <w:szCs w:val="20"/>
          <w:lang w:eastAsia="hr-HR"/>
        </w:rPr>
        <w:t>4</w:t>
      </w:r>
      <w:r w:rsidRPr="00A17B6F">
        <w:rPr>
          <w:rFonts w:ascii="Arial" w:eastAsia="Times New Roman" w:hAnsi="Arial" w:cs="Times New Roman"/>
          <w:bCs/>
          <w:sz w:val="24"/>
          <w:szCs w:val="20"/>
          <w:lang w:eastAsia="hr-HR"/>
        </w:rPr>
        <w:t xml:space="preserve">. godine porasla je za </w:t>
      </w:r>
      <w:r w:rsidR="007955F1" w:rsidRPr="00A17B6F">
        <w:rPr>
          <w:rFonts w:ascii="Arial" w:eastAsia="Times New Roman" w:hAnsi="Arial" w:cs="Times New Roman"/>
          <w:bCs/>
          <w:sz w:val="24"/>
          <w:szCs w:val="20"/>
          <w:lang w:eastAsia="hr-HR"/>
        </w:rPr>
        <w:t>30,3</w:t>
      </w:r>
      <w:r w:rsidRPr="00A17B6F">
        <w:rPr>
          <w:rFonts w:ascii="Arial" w:eastAsia="Times New Roman" w:hAnsi="Arial" w:cs="Times New Roman"/>
          <w:bCs/>
          <w:sz w:val="24"/>
          <w:szCs w:val="20"/>
          <w:lang w:eastAsia="hr-HR"/>
        </w:rPr>
        <w:t xml:space="preserve">%, odnosno za </w:t>
      </w:r>
      <w:r w:rsidR="007955F1" w:rsidRPr="00A17B6F">
        <w:rPr>
          <w:rFonts w:ascii="Arial" w:eastAsia="Times New Roman" w:hAnsi="Arial" w:cs="Times New Roman"/>
          <w:bCs/>
          <w:sz w:val="24"/>
          <w:szCs w:val="20"/>
          <w:lang w:eastAsia="hr-HR"/>
        </w:rPr>
        <w:t>30.998.457,25</w:t>
      </w:r>
      <w:r w:rsidR="005D2546" w:rsidRPr="00A17B6F">
        <w:rPr>
          <w:rFonts w:ascii="Arial" w:eastAsia="Times New Roman" w:hAnsi="Arial" w:cs="Times New Roman"/>
          <w:bCs/>
          <w:sz w:val="24"/>
          <w:szCs w:val="20"/>
          <w:lang w:eastAsia="hr-HR"/>
        </w:rPr>
        <w:t xml:space="preserve"> eura</w:t>
      </w:r>
      <w:r w:rsidRPr="00A17B6F">
        <w:rPr>
          <w:rFonts w:ascii="Arial" w:eastAsia="Times New Roman" w:hAnsi="Arial" w:cs="Times New Roman"/>
          <w:bCs/>
          <w:sz w:val="24"/>
          <w:szCs w:val="20"/>
          <w:lang w:eastAsia="hr-HR"/>
        </w:rPr>
        <w:t xml:space="preserve">. </w:t>
      </w:r>
      <w:r w:rsidR="006D4798" w:rsidRPr="00A17B6F">
        <w:rPr>
          <w:rFonts w:ascii="Arial" w:eastAsia="Times New Roman" w:hAnsi="Arial" w:cs="Times New Roman"/>
          <w:bCs/>
          <w:sz w:val="24"/>
          <w:szCs w:val="20"/>
          <w:lang w:eastAsia="hr-HR"/>
        </w:rPr>
        <w:t xml:space="preserve">Od navedenog povećanja, </w:t>
      </w:r>
      <w:r w:rsidR="007955F1" w:rsidRPr="00A17B6F">
        <w:rPr>
          <w:rFonts w:ascii="Arial" w:eastAsia="Times New Roman" w:hAnsi="Arial" w:cs="Times New Roman"/>
          <w:bCs/>
          <w:sz w:val="24"/>
          <w:szCs w:val="20"/>
          <w:lang w:eastAsia="hr-HR"/>
        </w:rPr>
        <w:t>21.908.746,04</w:t>
      </w:r>
      <w:r w:rsidR="005D2546" w:rsidRPr="00A17B6F">
        <w:rPr>
          <w:rFonts w:ascii="Arial" w:eastAsia="Times New Roman" w:hAnsi="Arial" w:cs="Times New Roman"/>
          <w:bCs/>
          <w:sz w:val="24"/>
          <w:szCs w:val="20"/>
          <w:lang w:eastAsia="hr-HR"/>
        </w:rPr>
        <w:t xml:space="preserve"> eur</w:t>
      </w:r>
      <w:r w:rsidR="007955F1" w:rsidRPr="00A17B6F">
        <w:rPr>
          <w:rFonts w:ascii="Arial" w:eastAsia="Times New Roman" w:hAnsi="Arial" w:cs="Times New Roman"/>
          <w:bCs/>
          <w:sz w:val="24"/>
          <w:szCs w:val="20"/>
          <w:lang w:eastAsia="hr-HR"/>
        </w:rPr>
        <w:t>a</w:t>
      </w:r>
      <w:r w:rsidR="006D4798" w:rsidRPr="00A17B6F">
        <w:rPr>
          <w:rFonts w:ascii="Arial" w:eastAsia="Times New Roman" w:hAnsi="Arial" w:cs="Times New Roman"/>
          <w:bCs/>
          <w:sz w:val="24"/>
          <w:szCs w:val="20"/>
          <w:lang w:eastAsia="hr-HR"/>
        </w:rPr>
        <w:t xml:space="preserve"> se odnosi na povećanje prihoda i primitaka proračunskih korisnika, a </w:t>
      </w:r>
      <w:r w:rsidR="007955F1" w:rsidRPr="00A17B6F">
        <w:rPr>
          <w:rFonts w:ascii="Arial" w:eastAsia="Times New Roman" w:hAnsi="Arial" w:cs="Times New Roman"/>
          <w:bCs/>
          <w:sz w:val="24"/>
          <w:szCs w:val="20"/>
          <w:lang w:eastAsia="hr-HR"/>
        </w:rPr>
        <w:t>9.089.711,21</w:t>
      </w:r>
      <w:r w:rsidR="005D2546" w:rsidRPr="00A17B6F">
        <w:rPr>
          <w:rFonts w:ascii="Arial" w:eastAsia="Times New Roman" w:hAnsi="Arial" w:cs="Times New Roman"/>
          <w:bCs/>
          <w:sz w:val="24"/>
          <w:szCs w:val="20"/>
          <w:lang w:eastAsia="hr-HR"/>
        </w:rPr>
        <w:t xml:space="preserve"> eura</w:t>
      </w:r>
      <w:r w:rsidR="006D4798" w:rsidRPr="00A17B6F">
        <w:rPr>
          <w:rFonts w:ascii="Arial" w:eastAsia="Times New Roman" w:hAnsi="Arial" w:cs="Times New Roman"/>
          <w:bCs/>
          <w:sz w:val="24"/>
          <w:szCs w:val="20"/>
          <w:lang w:eastAsia="hr-HR"/>
        </w:rPr>
        <w:t xml:space="preserve"> na povećanje prihoda i primitaka Županije. Isto tako, n</w:t>
      </w:r>
      <w:r w:rsidRPr="00A17B6F">
        <w:rPr>
          <w:rFonts w:ascii="Arial" w:eastAsia="Times New Roman" w:hAnsi="Arial" w:cs="Times New Roman"/>
          <w:bCs/>
          <w:sz w:val="24"/>
          <w:szCs w:val="20"/>
          <w:lang w:eastAsia="hr-HR"/>
        </w:rPr>
        <w:t>avedeni porast</w:t>
      </w:r>
      <w:r w:rsidR="006D4798" w:rsidRPr="00A17B6F">
        <w:rPr>
          <w:rFonts w:ascii="Arial" w:eastAsia="Times New Roman" w:hAnsi="Arial" w:cs="Times New Roman"/>
          <w:bCs/>
          <w:sz w:val="24"/>
          <w:szCs w:val="20"/>
          <w:lang w:eastAsia="hr-HR"/>
        </w:rPr>
        <w:t xml:space="preserve"> ostvarenih prihoda i primitaka na razini konsolidiranog Proračuna u odnosu na </w:t>
      </w:r>
      <w:r w:rsidR="007955F1" w:rsidRPr="00A17B6F">
        <w:rPr>
          <w:rFonts w:ascii="Arial" w:eastAsia="Times New Roman" w:hAnsi="Arial" w:cs="Times New Roman"/>
          <w:bCs/>
          <w:sz w:val="24"/>
          <w:szCs w:val="20"/>
          <w:lang w:eastAsia="hr-HR"/>
        </w:rPr>
        <w:t xml:space="preserve">izvještajno razdoblje iz </w:t>
      </w:r>
      <w:r w:rsidR="006D4798" w:rsidRPr="00A17B6F">
        <w:rPr>
          <w:rFonts w:ascii="Arial" w:eastAsia="Times New Roman" w:hAnsi="Arial" w:cs="Times New Roman"/>
          <w:bCs/>
          <w:sz w:val="24"/>
          <w:szCs w:val="20"/>
          <w:lang w:eastAsia="hr-HR"/>
        </w:rPr>
        <w:t>prethodn</w:t>
      </w:r>
      <w:r w:rsidR="007955F1" w:rsidRPr="00A17B6F">
        <w:rPr>
          <w:rFonts w:ascii="Arial" w:eastAsia="Times New Roman" w:hAnsi="Arial" w:cs="Times New Roman"/>
          <w:bCs/>
          <w:sz w:val="24"/>
          <w:szCs w:val="20"/>
          <w:lang w:eastAsia="hr-HR"/>
        </w:rPr>
        <w:t>e</w:t>
      </w:r>
      <w:r w:rsidR="006D4798" w:rsidRPr="00A17B6F">
        <w:rPr>
          <w:rFonts w:ascii="Arial" w:eastAsia="Times New Roman" w:hAnsi="Arial" w:cs="Times New Roman"/>
          <w:bCs/>
          <w:sz w:val="24"/>
          <w:szCs w:val="20"/>
          <w:lang w:eastAsia="hr-HR"/>
        </w:rPr>
        <w:t xml:space="preserve"> godin</w:t>
      </w:r>
      <w:r w:rsidR="007955F1" w:rsidRPr="00A17B6F">
        <w:rPr>
          <w:rFonts w:ascii="Arial" w:eastAsia="Times New Roman" w:hAnsi="Arial" w:cs="Times New Roman"/>
          <w:bCs/>
          <w:sz w:val="24"/>
          <w:szCs w:val="20"/>
          <w:lang w:eastAsia="hr-HR"/>
        </w:rPr>
        <w:t>e</w:t>
      </w:r>
      <w:r w:rsidRPr="00A17B6F">
        <w:rPr>
          <w:rFonts w:ascii="Arial" w:eastAsia="Times New Roman" w:hAnsi="Arial" w:cs="Times New Roman"/>
          <w:bCs/>
          <w:sz w:val="24"/>
          <w:szCs w:val="20"/>
          <w:lang w:eastAsia="hr-HR"/>
        </w:rPr>
        <w:t xml:space="preserve">, u </w:t>
      </w:r>
      <w:r w:rsidR="006D4798" w:rsidRPr="00A17B6F">
        <w:rPr>
          <w:rFonts w:ascii="Arial" w:eastAsia="Times New Roman" w:hAnsi="Arial" w:cs="Times New Roman"/>
          <w:bCs/>
          <w:sz w:val="24"/>
          <w:szCs w:val="20"/>
          <w:lang w:eastAsia="hr-HR"/>
        </w:rPr>
        <w:t>najvećem dijelu je</w:t>
      </w:r>
      <w:r w:rsidR="005D2546" w:rsidRPr="00A17B6F">
        <w:rPr>
          <w:rFonts w:ascii="Arial" w:eastAsia="Times New Roman" w:hAnsi="Arial" w:cs="Times New Roman"/>
          <w:bCs/>
          <w:sz w:val="24"/>
          <w:szCs w:val="20"/>
          <w:lang w:eastAsia="hr-HR"/>
        </w:rPr>
        <w:t xml:space="preserve"> re</w:t>
      </w:r>
      <w:r w:rsidR="004C1BF0" w:rsidRPr="00A17B6F">
        <w:rPr>
          <w:rFonts w:ascii="Arial" w:eastAsia="Times New Roman" w:hAnsi="Arial" w:cs="Times New Roman"/>
          <w:bCs/>
          <w:sz w:val="24"/>
          <w:szCs w:val="20"/>
          <w:lang w:eastAsia="hr-HR"/>
        </w:rPr>
        <w:t xml:space="preserve">zultat </w:t>
      </w:r>
      <w:r w:rsidR="006D4798" w:rsidRPr="00A17B6F">
        <w:rPr>
          <w:rFonts w:ascii="Arial" w:eastAsia="Times New Roman" w:hAnsi="Arial" w:cs="Times New Roman"/>
          <w:bCs/>
          <w:sz w:val="24"/>
          <w:szCs w:val="20"/>
          <w:lang w:eastAsia="hr-HR"/>
        </w:rPr>
        <w:t>povećanja</w:t>
      </w:r>
      <w:r w:rsidRPr="00A17B6F">
        <w:rPr>
          <w:rFonts w:ascii="Arial" w:eastAsia="Times New Roman" w:hAnsi="Arial" w:cs="Times New Roman"/>
          <w:bCs/>
          <w:sz w:val="24"/>
          <w:szCs w:val="20"/>
          <w:lang w:eastAsia="hr-HR"/>
        </w:rPr>
        <w:t xml:space="preserve"> </w:t>
      </w:r>
      <w:r w:rsidR="007955F1" w:rsidRPr="00A17B6F">
        <w:rPr>
          <w:rFonts w:ascii="Arial" w:eastAsia="Times New Roman" w:hAnsi="Arial" w:cs="Times New Roman"/>
          <w:bCs/>
          <w:sz w:val="24"/>
          <w:szCs w:val="20"/>
          <w:lang w:eastAsia="hr-HR"/>
        </w:rPr>
        <w:t xml:space="preserve">prihoda od pomoći, </w:t>
      </w:r>
      <w:r w:rsidRPr="00A17B6F">
        <w:rPr>
          <w:rFonts w:ascii="Arial" w:eastAsia="Times New Roman" w:hAnsi="Arial" w:cs="Times New Roman"/>
          <w:bCs/>
          <w:sz w:val="24"/>
          <w:szCs w:val="20"/>
          <w:lang w:eastAsia="hr-HR"/>
        </w:rPr>
        <w:t>poreznih prihoda,</w:t>
      </w:r>
      <w:r w:rsidR="007955F1" w:rsidRPr="00A17B6F">
        <w:rPr>
          <w:rFonts w:ascii="Arial" w:eastAsia="Times New Roman" w:hAnsi="Arial" w:cs="Times New Roman"/>
          <w:bCs/>
          <w:sz w:val="24"/>
          <w:szCs w:val="20"/>
          <w:lang w:eastAsia="hr-HR"/>
        </w:rPr>
        <w:t xml:space="preserve"> prihoda zdravstvenih ustanova od HZZO-a</w:t>
      </w:r>
      <w:r w:rsidR="001E3FE8">
        <w:rPr>
          <w:rFonts w:ascii="Arial" w:eastAsia="Times New Roman" w:hAnsi="Arial" w:cs="Times New Roman"/>
          <w:bCs/>
          <w:sz w:val="24"/>
          <w:szCs w:val="20"/>
          <w:lang w:eastAsia="hr-HR"/>
        </w:rPr>
        <w:t>, prihoda od imovine</w:t>
      </w:r>
      <w:r w:rsidR="007955F1" w:rsidRPr="00A17B6F">
        <w:rPr>
          <w:rFonts w:ascii="Arial" w:eastAsia="Times New Roman" w:hAnsi="Arial" w:cs="Times New Roman"/>
          <w:bCs/>
          <w:sz w:val="24"/>
          <w:szCs w:val="20"/>
          <w:lang w:eastAsia="hr-HR"/>
        </w:rPr>
        <w:t xml:space="preserve"> te prihoda od pristojbi i naknada.</w:t>
      </w:r>
    </w:p>
    <w:p w14:paraId="05FAE503" w14:textId="77777777" w:rsidR="00966DDB" w:rsidRPr="00A17B6F" w:rsidRDefault="00966DDB" w:rsidP="002877D8">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p>
    <w:p w14:paraId="235145DE" w14:textId="2C2CDC12" w:rsidR="00087289" w:rsidRDefault="00087289" w:rsidP="00087289">
      <w:pPr>
        <w:overflowPunct w:val="0"/>
        <w:autoSpaceDE w:val="0"/>
        <w:autoSpaceDN w:val="0"/>
        <w:adjustRightInd w:val="0"/>
        <w:spacing w:after="0" w:line="240" w:lineRule="auto"/>
        <w:ind w:left="1418" w:hanging="1418"/>
        <w:jc w:val="both"/>
        <w:textAlignment w:val="baseline"/>
        <w:rPr>
          <w:rFonts w:ascii="Arial" w:eastAsia="Times New Roman" w:hAnsi="Arial" w:cs="Times New Roman"/>
          <w:sz w:val="24"/>
          <w:szCs w:val="20"/>
          <w:lang w:eastAsia="hr-HR"/>
        </w:rPr>
      </w:pPr>
      <w:r w:rsidRPr="00A17B6F">
        <w:rPr>
          <w:rFonts w:ascii="Arial" w:eastAsia="Times New Roman" w:hAnsi="Arial" w:cs="Times New Roman"/>
          <w:b/>
          <w:sz w:val="24"/>
          <w:szCs w:val="20"/>
          <w:lang w:eastAsia="hr-HR"/>
        </w:rPr>
        <w:t xml:space="preserve">Tablica </w:t>
      </w:r>
      <w:r w:rsidR="00987502" w:rsidRPr="00A17B6F">
        <w:rPr>
          <w:rFonts w:ascii="Arial" w:eastAsia="Times New Roman" w:hAnsi="Arial" w:cs="Times New Roman"/>
          <w:b/>
          <w:sz w:val="24"/>
          <w:szCs w:val="20"/>
          <w:lang w:eastAsia="hr-HR"/>
        </w:rPr>
        <w:t>3</w:t>
      </w:r>
      <w:r w:rsidRPr="00A17B6F">
        <w:rPr>
          <w:rFonts w:ascii="Arial" w:eastAsia="Times New Roman" w:hAnsi="Arial" w:cs="Times New Roman"/>
          <w:b/>
          <w:sz w:val="24"/>
          <w:szCs w:val="20"/>
          <w:lang w:eastAsia="hr-HR"/>
        </w:rPr>
        <w:t>.</w:t>
      </w:r>
      <w:r w:rsidRPr="00A17B6F">
        <w:rPr>
          <w:rFonts w:ascii="Arial" w:eastAsia="Times New Roman" w:hAnsi="Arial" w:cs="Times New Roman"/>
          <w:sz w:val="24"/>
          <w:szCs w:val="20"/>
          <w:lang w:eastAsia="hr-HR"/>
        </w:rPr>
        <w:t>:</w:t>
      </w:r>
      <w:r w:rsidRPr="00A17B6F">
        <w:rPr>
          <w:rFonts w:ascii="Arial" w:eastAsia="Times New Roman" w:hAnsi="Arial" w:cs="Times New Roman"/>
          <w:sz w:val="24"/>
          <w:szCs w:val="20"/>
          <w:lang w:eastAsia="hr-HR"/>
        </w:rPr>
        <w:tab/>
        <w:t xml:space="preserve">Ostvarenje prihoda / primitaka </w:t>
      </w:r>
      <w:r w:rsidR="009B4DFA" w:rsidRPr="00A17B6F">
        <w:rPr>
          <w:rFonts w:ascii="Arial" w:eastAsia="Times New Roman" w:hAnsi="Arial" w:cs="Times New Roman"/>
          <w:sz w:val="24"/>
          <w:szCs w:val="20"/>
          <w:lang w:eastAsia="hr-HR"/>
        </w:rPr>
        <w:t xml:space="preserve">konsolidiranog proračuna PGŽ </w:t>
      </w:r>
      <w:r w:rsidRPr="00A17B6F">
        <w:rPr>
          <w:rFonts w:ascii="Arial" w:eastAsia="Times New Roman" w:hAnsi="Arial" w:cs="Times New Roman"/>
          <w:sz w:val="24"/>
          <w:szCs w:val="20"/>
          <w:lang w:eastAsia="hr-HR"/>
        </w:rPr>
        <w:t xml:space="preserve">u </w:t>
      </w:r>
      <w:r w:rsidR="004610E0" w:rsidRPr="00A17B6F">
        <w:rPr>
          <w:rFonts w:ascii="Arial" w:eastAsia="Times New Roman" w:hAnsi="Arial" w:cs="Times New Roman"/>
          <w:sz w:val="24"/>
          <w:szCs w:val="24"/>
          <w:lang w:eastAsia="hr-HR"/>
        </w:rPr>
        <w:t xml:space="preserve"> prvom polugodištu 202</w:t>
      </w:r>
      <w:r w:rsidR="00D10805" w:rsidRPr="00A17B6F">
        <w:rPr>
          <w:rFonts w:ascii="Arial" w:eastAsia="Times New Roman" w:hAnsi="Arial" w:cs="Times New Roman"/>
          <w:sz w:val="24"/>
          <w:szCs w:val="24"/>
          <w:lang w:eastAsia="hr-HR"/>
        </w:rPr>
        <w:t>4</w:t>
      </w:r>
      <w:r w:rsidR="004610E0" w:rsidRPr="00A17B6F">
        <w:rPr>
          <w:rFonts w:ascii="Arial" w:eastAsia="Times New Roman" w:hAnsi="Arial" w:cs="Times New Roman"/>
          <w:sz w:val="24"/>
          <w:szCs w:val="24"/>
          <w:lang w:eastAsia="hr-HR"/>
        </w:rPr>
        <w:t>. godine</w:t>
      </w:r>
      <w:r w:rsidRPr="00A17B6F">
        <w:rPr>
          <w:rFonts w:ascii="Arial" w:eastAsia="Times New Roman" w:hAnsi="Arial" w:cs="Times New Roman"/>
          <w:sz w:val="24"/>
          <w:szCs w:val="20"/>
          <w:lang w:eastAsia="hr-HR"/>
        </w:rPr>
        <w:t xml:space="preserve"> po osnovnim skupinama</w:t>
      </w:r>
      <w:r w:rsidR="004B7164" w:rsidRPr="00A17B6F">
        <w:rPr>
          <w:rFonts w:ascii="Arial" w:eastAsia="Times New Roman" w:hAnsi="Arial" w:cs="Times New Roman"/>
          <w:sz w:val="24"/>
          <w:szCs w:val="20"/>
          <w:lang w:eastAsia="hr-HR"/>
        </w:rPr>
        <w:t xml:space="preserve"> </w:t>
      </w:r>
      <w:r w:rsidR="009B4DFA" w:rsidRPr="00A17B6F">
        <w:rPr>
          <w:rFonts w:ascii="Arial" w:eastAsia="Times New Roman" w:hAnsi="Arial" w:cs="Times New Roman"/>
          <w:sz w:val="24"/>
          <w:szCs w:val="20"/>
          <w:lang w:eastAsia="hr-HR"/>
        </w:rPr>
        <w:t xml:space="preserve">i podskupinama </w:t>
      </w:r>
      <w:r w:rsidR="004B7164" w:rsidRPr="00A17B6F">
        <w:rPr>
          <w:rFonts w:ascii="Arial" w:eastAsia="Times New Roman" w:hAnsi="Arial" w:cs="Times New Roman"/>
          <w:sz w:val="24"/>
          <w:szCs w:val="20"/>
          <w:lang w:eastAsia="hr-HR"/>
        </w:rPr>
        <w:t>ekonomske klasifikacije</w:t>
      </w:r>
    </w:p>
    <w:p w14:paraId="50037561" w14:textId="77777777" w:rsidR="00BC1CA7" w:rsidRPr="00BC1CA7" w:rsidRDefault="00BC1CA7" w:rsidP="00087289">
      <w:pPr>
        <w:overflowPunct w:val="0"/>
        <w:autoSpaceDE w:val="0"/>
        <w:autoSpaceDN w:val="0"/>
        <w:adjustRightInd w:val="0"/>
        <w:spacing w:after="0" w:line="240" w:lineRule="auto"/>
        <w:ind w:left="1418" w:hanging="1418"/>
        <w:jc w:val="both"/>
        <w:textAlignment w:val="baseline"/>
        <w:rPr>
          <w:rFonts w:ascii="Arial" w:eastAsia="Times New Roman" w:hAnsi="Arial" w:cs="Times New Roman"/>
          <w:sz w:val="10"/>
          <w:szCs w:val="10"/>
          <w:lang w:eastAsia="hr-HR"/>
        </w:rPr>
      </w:pPr>
    </w:p>
    <w:p w14:paraId="7FF20DEA" w14:textId="6C97D6A6" w:rsidR="00087289" w:rsidRPr="00A17B6F" w:rsidRDefault="00087289"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r w:rsidRPr="00A17B6F">
        <w:rPr>
          <w:rFonts w:ascii="Arial" w:eastAsia="Times New Roman" w:hAnsi="Arial" w:cs="Arial"/>
          <w:sz w:val="20"/>
          <w:szCs w:val="20"/>
          <w:lang w:eastAsia="hr-HR"/>
        </w:rPr>
        <w:t xml:space="preserve">– u </w:t>
      </w:r>
      <w:r w:rsidR="007C6E0C" w:rsidRPr="00A17B6F">
        <w:rPr>
          <w:rFonts w:ascii="Arial" w:eastAsia="Times New Roman" w:hAnsi="Arial" w:cs="Arial"/>
          <w:sz w:val="20"/>
          <w:szCs w:val="20"/>
          <w:lang w:eastAsia="hr-HR"/>
        </w:rPr>
        <w:t>eurima</w:t>
      </w:r>
    </w:p>
    <w:p w14:paraId="40E07F07" w14:textId="7F76088E" w:rsidR="00D10805" w:rsidRPr="00A17B6F" w:rsidRDefault="00D10805" w:rsidP="00087289">
      <w:pPr>
        <w:overflowPunct w:val="0"/>
        <w:autoSpaceDE w:val="0"/>
        <w:autoSpaceDN w:val="0"/>
        <w:adjustRightInd w:val="0"/>
        <w:spacing w:after="0" w:line="240" w:lineRule="auto"/>
        <w:jc w:val="right"/>
        <w:textAlignment w:val="baseline"/>
        <w:rPr>
          <w:rFonts w:ascii="Arial" w:eastAsia="Times New Roman" w:hAnsi="Arial" w:cs="Arial"/>
          <w:sz w:val="10"/>
          <w:szCs w:val="10"/>
          <w:lang w:eastAsia="hr-HR"/>
        </w:rPr>
      </w:pPr>
    </w:p>
    <w:tbl>
      <w:tblPr>
        <w:tblW w:w="11199" w:type="dxa"/>
        <w:tblInd w:w="-567" w:type="dxa"/>
        <w:tblLayout w:type="fixed"/>
        <w:tblLook w:val="04A0" w:firstRow="1" w:lastRow="0" w:firstColumn="1" w:lastColumn="0" w:noHBand="0" w:noVBand="1"/>
      </w:tblPr>
      <w:tblGrid>
        <w:gridCol w:w="709"/>
        <w:gridCol w:w="2309"/>
        <w:gridCol w:w="1235"/>
        <w:gridCol w:w="1276"/>
        <w:gridCol w:w="1275"/>
        <w:gridCol w:w="960"/>
        <w:gridCol w:w="883"/>
        <w:gridCol w:w="1276"/>
        <w:gridCol w:w="1276"/>
      </w:tblGrid>
      <w:tr w:rsidR="00D10805" w:rsidRPr="00A17B6F" w14:paraId="18B9159F" w14:textId="77777777" w:rsidTr="00D10805">
        <w:trPr>
          <w:trHeight w:val="315"/>
        </w:trPr>
        <w:tc>
          <w:tcPr>
            <w:tcW w:w="709" w:type="dxa"/>
            <w:vMerge w:val="restart"/>
            <w:tcBorders>
              <w:top w:val="single" w:sz="8" w:space="0" w:color="auto"/>
              <w:left w:val="nil"/>
              <w:bottom w:val="single" w:sz="8" w:space="0" w:color="000000"/>
              <w:right w:val="nil"/>
            </w:tcBorders>
            <w:shd w:val="clear" w:color="auto" w:fill="auto"/>
            <w:vAlign w:val="center"/>
            <w:hideMark/>
          </w:tcPr>
          <w:p w14:paraId="4E3C69E4"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Oznaka</w:t>
            </w:r>
          </w:p>
        </w:tc>
        <w:tc>
          <w:tcPr>
            <w:tcW w:w="2309" w:type="dxa"/>
            <w:vMerge w:val="restart"/>
            <w:tcBorders>
              <w:top w:val="single" w:sz="8" w:space="0" w:color="auto"/>
              <w:left w:val="nil"/>
              <w:bottom w:val="single" w:sz="8" w:space="0" w:color="000000"/>
              <w:right w:val="nil"/>
            </w:tcBorders>
            <w:shd w:val="clear" w:color="auto" w:fill="auto"/>
            <w:vAlign w:val="center"/>
            <w:hideMark/>
          </w:tcPr>
          <w:p w14:paraId="7EB72731"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Opis</w:t>
            </w:r>
          </w:p>
        </w:tc>
        <w:tc>
          <w:tcPr>
            <w:tcW w:w="1235" w:type="dxa"/>
            <w:vMerge w:val="restart"/>
            <w:tcBorders>
              <w:top w:val="single" w:sz="8" w:space="0" w:color="auto"/>
              <w:left w:val="nil"/>
              <w:bottom w:val="single" w:sz="8" w:space="0" w:color="000000"/>
              <w:right w:val="nil"/>
            </w:tcBorders>
            <w:shd w:val="clear" w:color="auto" w:fill="auto"/>
            <w:vAlign w:val="center"/>
            <w:hideMark/>
          </w:tcPr>
          <w:p w14:paraId="53677B0F"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Ostvarenje</w:t>
            </w:r>
            <w:r w:rsidRPr="00A17B6F">
              <w:rPr>
                <w:rFonts w:ascii="Calibri" w:eastAsia="Times New Roman" w:hAnsi="Calibri" w:cs="Calibri"/>
                <w:b/>
                <w:bCs/>
                <w:color w:val="000000"/>
                <w:sz w:val="16"/>
                <w:szCs w:val="16"/>
                <w:lang w:eastAsia="hr-HR"/>
              </w:rPr>
              <w:br/>
              <w:t>1.-6.2023.</w:t>
            </w:r>
          </w:p>
        </w:tc>
        <w:tc>
          <w:tcPr>
            <w:tcW w:w="1276" w:type="dxa"/>
            <w:vMerge w:val="restart"/>
            <w:tcBorders>
              <w:top w:val="single" w:sz="8" w:space="0" w:color="auto"/>
              <w:left w:val="nil"/>
              <w:bottom w:val="single" w:sz="8" w:space="0" w:color="000000"/>
              <w:right w:val="nil"/>
            </w:tcBorders>
            <w:shd w:val="clear" w:color="auto" w:fill="auto"/>
            <w:vAlign w:val="center"/>
            <w:hideMark/>
          </w:tcPr>
          <w:p w14:paraId="43E8DCD2"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 xml:space="preserve">Tekući plan </w:t>
            </w:r>
            <w:r w:rsidRPr="00A17B6F">
              <w:rPr>
                <w:rFonts w:ascii="Calibri" w:eastAsia="Times New Roman" w:hAnsi="Calibri" w:cs="Calibri"/>
                <w:b/>
                <w:bCs/>
                <w:color w:val="000000"/>
                <w:sz w:val="16"/>
                <w:szCs w:val="16"/>
                <w:lang w:eastAsia="hr-HR"/>
              </w:rPr>
              <w:br/>
              <w:t>2024.</w:t>
            </w:r>
          </w:p>
        </w:tc>
        <w:tc>
          <w:tcPr>
            <w:tcW w:w="1275" w:type="dxa"/>
            <w:vMerge w:val="restart"/>
            <w:tcBorders>
              <w:top w:val="single" w:sz="8" w:space="0" w:color="auto"/>
              <w:left w:val="nil"/>
              <w:bottom w:val="single" w:sz="8" w:space="0" w:color="000000"/>
              <w:right w:val="nil"/>
            </w:tcBorders>
            <w:shd w:val="clear" w:color="auto" w:fill="auto"/>
            <w:vAlign w:val="center"/>
            <w:hideMark/>
          </w:tcPr>
          <w:p w14:paraId="576C2D1E"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Ostvarenje</w:t>
            </w:r>
            <w:r w:rsidRPr="00A17B6F">
              <w:rPr>
                <w:rFonts w:ascii="Calibri" w:eastAsia="Times New Roman" w:hAnsi="Calibri" w:cs="Calibri"/>
                <w:b/>
                <w:bCs/>
                <w:color w:val="000000"/>
                <w:sz w:val="16"/>
                <w:szCs w:val="16"/>
                <w:lang w:eastAsia="hr-HR"/>
              </w:rPr>
              <w:br/>
              <w:t>1.-6.2024.</w:t>
            </w:r>
          </w:p>
        </w:tc>
        <w:tc>
          <w:tcPr>
            <w:tcW w:w="960" w:type="dxa"/>
            <w:vMerge w:val="restart"/>
            <w:tcBorders>
              <w:top w:val="single" w:sz="8" w:space="0" w:color="auto"/>
              <w:left w:val="nil"/>
              <w:bottom w:val="single" w:sz="8" w:space="0" w:color="000000"/>
              <w:right w:val="nil"/>
            </w:tcBorders>
            <w:shd w:val="clear" w:color="auto" w:fill="auto"/>
            <w:vAlign w:val="center"/>
            <w:hideMark/>
          </w:tcPr>
          <w:p w14:paraId="63BC6602"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 xml:space="preserve">Indeks </w:t>
            </w:r>
            <w:proofErr w:type="spellStart"/>
            <w:r w:rsidRPr="00A17B6F">
              <w:rPr>
                <w:rFonts w:ascii="Calibri" w:eastAsia="Times New Roman" w:hAnsi="Calibri" w:cs="Calibri"/>
                <w:b/>
                <w:bCs/>
                <w:color w:val="000000"/>
                <w:sz w:val="16"/>
                <w:szCs w:val="16"/>
                <w:lang w:eastAsia="hr-HR"/>
              </w:rPr>
              <w:t>Ostvar</w:t>
            </w:r>
            <w:proofErr w:type="spellEnd"/>
            <w:r w:rsidRPr="00A17B6F">
              <w:rPr>
                <w:rFonts w:ascii="Calibri" w:eastAsia="Times New Roman" w:hAnsi="Calibri" w:cs="Calibri"/>
                <w:b/>
                <w:bCs/>
                <w:color w:val="000000"/>
                <w:sz w:val="16"/>
                <w:szCs w:val="16"/>
                <w:lang w:eastAsia="hr-HR"/>
              </w:rPr>
              <w:t>.</w:t>
            </w:r>
          </w:p>
          <w:p w14:paraId="6C0BC704" w14:textId="663428E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2024/</w:t>
            </w:r>
            <w:r w:rsidRPr="00A17B6F">
              <w:rPr>
                <w:rFonts w:ascii="Calibri" w:eastAsia="Times New Roman" w:hAnsi="Calibri" w:cs="Calibri"/>
                <w:b/>
                <w:bCs/>
                <w:color w:val="000000"/>
                <w:sz w:val="16"/>
                <w:szCs w:val="16"/>
                <w:lang w:eastAsia="hr-HR"/>
              </w:rPr>
              <w:br/>
            </w:r>
            <w:proofErr w:type="spellStart"/>
            <w:r w:rsidRPr="00A17B6F">
              <w:rPr>
                <w:rFonts w:ascii="Calibri" w:eastAsia="Times New Roman" w:hAnsi="Calibri" w:cs="Calibri"/>
                <w:b/>
                <w:bCs/>
                <w:color w:val="000000"/>
                <w:sz w:val="16"/>
                <w:szCs w:val="16"/>
                <w:lang w:eastAsia="hr-HR"/>
              </w:rPr>
              <w:t>Ostvar</w:t>
            </w:r>
            <w:proofErr w:type="spellEnd"/>
            <w:r w:rsidRPr="00A17B6F">
              <w:rPr>
                <w:rFonts w:ascii="Calibri" w:eastAsia="Times New Roman" w:hAnsi="Calibri" w:cs="Calibri"/>
                <w:b/>
                <w:bCs/>
                <w:color w:val="000000"/>
                <w:sz w:val="16"/>
                <w:szCs w:val="16"/>
                <w:lang w:eastAsia="hr-HR"/>
              </w:rPr>
              <w:t>. 2023</w:t>
            </w:r>
          </w:p>
        </w:tc>
        <w:tc>
          <w:tcPr>
            <w:tcW w:w="883" w:type="dxa"/>
            <w:vMerge w:val="restart"/>
            <w:tcBorders>
              <w:top w:val="single" w:sz="8" w:space="0" w:color="auto"/>
              <w:left w:val="nil"/>
              <w:bottom w:val="single" w:sz="8" w:space="0" w:color="000000"/>
              <w:right w:val="nil"/>
            </w:tcBorders>
            <w:shd w:val="clear" w:color="auto" w:fill="auto"/>
            <w:vAlign w:val="center"/>
            <w:hideMark/>
          </w:tcPr>
          <w:p w14:paraId="38F0920D"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Indeks</w:t>
            </w:r>
            <w:r w:rsidRPr="00A17B6F">
              <w:rPr>
                <w:rFonts w:ascii="Calibri" w:eastAsia="Times New Roman" w:hAnsi="Calibri" w:cs="Calibri"/>
                <w:b/>
                <w:bCs/>
                <w:color w:val="000000"/>
                <w:sz w:val="16"/>
                <w:szCs w:val="16"/>
                <w:lang w:eastAsia="hr-HR"/>
              </w:rPr>
              <w:br/>
            </w:r>
            <w:proofErr w:type="spellStart"/>
            <w:r w:rsidRPr="00A17B6F">
              <w:rPr>
                <w:rFonts w:ascii="Calibri" w:eastAsia="Times New Roman" w:hAnsi="Calibri" w:cs="Calibri"/>
                <w:b/>
                <w:bCs/>
                <w:color w:val="000000"/>
                <w:sz w:val="16"/>
                <w:szCs w:val="16"/>
                <w:lang w:eastAsia="hr-HR"/>
              </w:rPr>
              <w:t>Ostvar</w:t>
            </w:r>
            <w:proofErr w:type="spellEnd"/>
            <w:r w:rsidRPr="00A17B6F">
              <w:rPr>
                <w:rFonts w:ascii="Calibri" w:eastAsia="Times New Roman" w:hAnsi="Calibri" w:cs="Calibri"/>
                <w:b/>
                <w:bCs/>
                <w:color w:val="000000"/>
                <w:sz w:val="16"/>
                <w:szCs w:val="16"/>
                <w:lang w:eastAsia="hr-HR"/>
              </w:rPr>
              <w:t>.</w:t>
            </w:r>
          </w:p>
          <w:p w14:paraId="1ADECC9B" w14:textId="1B8437EC"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1.-6. 2024 / Tekući plan 2024</w:t>
            </w:r>
          </w:p>
        </w:tc>
        <w:tc>
          <w:tcPr>
            <w:tcW w:w="2552" w:type="dxa"/>
            <w:gridSpan w:val="2"/>
            <w:tcBorders>
              <w:top w:val="single" w:sz="8" w:space="0" w:color="auto"/>
              <w:left w:val="nil"/>
              <w:bottom w:val="single" w:sz="8" w:space="0" w:color="auto"/>
              <w:right w:val="nil"/>
            </w:tcBorders>
            <w:shd w:val="clear" w:color="auto" w:fill="auto"/>
            <w:noWrap/>
            <w:vAlign w:val="center"/>
            <w:hideMark/>
          </w:tcPr>
          <w:p w14:paraId="705C1C5D"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Ostvarenje 1.-6.2024</w:t>
            </w:r>
          </w:p>
        </w:tc>
      </w:tr>
      <w:tr w:rsidR="00D10805" w:rsidRPr="00A17B6F" w14:paraId="799C9870" w14:textId="77777777" w:rsidTr="00D10805">
        <w:trPr>
          <w:trHeight w:val="1095"/>
        </w:trPr>
        <w:tc>
          <w:tcPr>
            <w:tcW w:w="709" w:type="dxa"/>
            <w:vMerge/>
            <w:tcBorders>
              <w:top w:val="single" w:sz="8" w:space="0" w:color="auto"/>
              <w:left w:val="nil"/>
              <w:bottom w:val="single" w:sz="8" w:space="0" w:color="000000"/>
              <w:right w:val="nil"/>
            </w:tcBorders>
            <w:vAlign w:val="center"/>
            <w:hideMark/>
          </w:tcPr>
          <w:p w14:paraId="0F7F35BA"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2309" w:type="dxa"/>
            <w:vMerge/>
            <w:tcBorders>
              <w:top w:val="single" w:sz="8" w:space="0" w:color="auto"/>
              <w:left w:val="nil"/>
              <w:bottom w:val="single" w:sz="8" w:space="0" w:color="000000"/>
              <w:right w:val="nil"/>
            </w:tcBorders>
            <w:vAlign w:val="center"/>
            <w:hideMark/>
          </w:tcPr>
          <w:p w14:paraId="1E3CE68E"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1235" w:type="dxa"/>
            <w:vMerge/>
            <w:tcBorders>
              <w:top w:val="single" w:sz="8" w:space="0" w:color="auto"/>
              <w:left w:val="nil"/>
              <w:bottom w:val="single" w:sz="8" w:space="0" w:color="000000"/>
              <w:right w:val="nil"/>
            </w:tcBorders>
            <w:vAlign w:val="center"/>
            <w:hideMark/>
          </w:tcPr>
          <w:p w14:paraId="2165A217"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1276" w:type="dxa"/>
            <w:vMerge/>
            <w:tcBorders>
              <w:top w:val="single" w:sz="8" w:space="0" w:color="auto"/>
              <w:left w:val="nil"/>
              <w:bottom w:val="single" w:sz="8" w:space="0" w:color="000000"/>
              <w:right w:val="nil"/>
            </w:tcBorders>
            <w:vAlign w:val="center"/>
            <w:hideMark/>
          </w:tcPr>
          <w:p w14:paraId="5308114A"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1275" w:type="dxa"/>
            <w:vMerge/>
            <w:tcBorders>
              <w:top w:val="single" w:sz="8" w:space="0" w:color="auto"/>
              <w:left w:val="nil"/>
              <w:bottom w:val="single" w:sz="8" w:space="0" w:color="000000"/>
              <w:right w:val="nil"/>
            </w:tcBorders>
            <w:vAlign w:val="center"/>
            <w:hideMark/>
          </w:tcPr>
          <w:p w14:paraId="778C21EA"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960" w:type="dxa"/>
            <w:vMerge/>
            <w:tcBorders>
              <w:top w:val="single" w:sz="8" w:space="0" w:color="auto"/>
              <w:left w:val="nil"/>
              <w:bottom w:val="single" w:sz="8" w:space="0" w:color="000000"/>
              <w:right w:val="nil"/>
            </w:tcBorders>
            <w:vAlign w:val="center"/>
            <w:hideMark/>
          </w:tcPr>
          <w:p w14:paraId="55FE0CA3"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883" w:type="dxa"/>
            <w:vMerge/>
            <w:tcBorders>
              <w:top w:val="single" w:sz="8" w:space="0" w:color="auto"/>
              <w:left w:val="nil"/>
              <w:bottom w:val="single" w:sz="8" w:space="0" w:color="000000"/>
              <w:right w:val="nil"/>
            </w:tcBorders>
            <w:vAlign w:val="center"/>
            <w:hideMark/>
          </w:tcPr>
          <w:p w14:paraId="0E37A228"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1276" w:type="dxa"/>
            <w:tcBorders>
              <w:top w:val="nil"/>
              <w:left w:val="nil"/>
              <w:bottom w:val="single" w:sz="8" w:space="0" w:color="auto"/>
              <w:right w:val="nil"/>
            </w:tcBorders>
            <w:shd w:val="clear" w:color="auto" w:fill="auto"/>
            <w:vAlign w:val="center"/>
            <w:hideMark/>
          </w:tcPr>
          <w:p w14:paraId="0754A350"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Županijski prihodi i primici</w:t>
            </w:r>
          </w:p>
        </w:tc>
        <w:tc>
          <w:tcPr>
            <w:tcW w:w="1276" w:type="dxa"/>
            <w:tcBorders>
              <w:top w:val="nil"/>
              <w:left w:val="nil"/>
              <w:bottom w:val="single" w:sz="8" w:space="0" w:color="auto"/>
              <w:right w:val="nil"/>
            </w:tcBorders>
            <w:shd w:val="clear" w:color="auto" w:fill="auto"/>
            <w:vAlign w:val="center"/>
            <w:hideMark/>
          </w:tcPr>
          <w:p w14:paraId="5509F22D"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Prihodi i primici županijskih korisnika</w:t>
            </w:r>
          </w:p>
        </w:tc>
      </w:tr>
      <w:tr w:rsidR="00D10805" w:rsidRPr="00A17B6F" w14:paraId="7CD76924" w14:textId="77777777" w:rsidTr="00D10805">
        <w:trPr>
          <w:trHeight w:val="315"/>
        </w:trPr>
        <w:tc>
          <w:tcPr>
            <w:tcW w:w="709" w:type="dxa"/>
            <w:tcBorders>
              <w:top w:val="nil"/>
              <w:left w:val="nil"/>
              <w:bottom w:val="single" w:sz="8" w:space="0" w:color="auto"/>
              <w:right w:val="nil"/>
            </w:tcBorders>
            <w:shd w:val="clear" w:color="auto" w:fill="auto"/>
            <w:noWrap/>
            <w:vAlign w:val="center"/>
            <w:hideMark/>
          </w:tcPr>
          <w:p w14:paraId="0790F6B4"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w:t>
            </w:r>
          </w:p>
        </w:tc>
        <w:tc>
          <w:tcPr>
            <w:tcW w:w="2309" w:type="dxa"/>
            <w:tcBorders>
              <w:top w:val="nil"/>
              <w:left w:val="nil"/>
              <w:bottom w:val="single" w:sz="8" w:space="0" w:color="auto"/>
              <w:right w:val="nil"/>
            </w:tcBorders>
            <w:shd w:val="clear" w:color="auto" w:fill="auto"/>
            <w:vAlign w:val="center"/>
            <w:hideMark/>
          </w:tcPr>
          <w:p w14:paraId="5F550E29"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2</w:t>
            </w:r>
          </w:p>
        </w:tc>
        <w:tc>
          <w:tcPr>
            <w:tcW w:w="1235" w:type="dxa"/>
            <w:tcBorders>
              <w:top w:val="nil"/>
              <w:left w:val="nil"/>
              <w:bottom w:val="single" w:sz="8" w:space="0" w:color="auto"/>
              <w:right w:val="nil"/>
            </w:tcBorders>
            <w:shd w:val="clear" w:color="auto" w:fill="auto"/>
            <w:noWrap/>
            <w:vAlign w:val="center"/>
            <w:hideMark/>
          </w:tcPr>
          <w:p w14:paraId="5D0D32A1"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3</w:t>
            </w:r>
          </w:p>
        </w:tc>
        <w:tc>
          <w:tcPr>
            <w:tcW w:w="1276" w:type="dxa"/>
            <w:tcBorders>
              <w:top w:val="nil"/>
              <w:left w:val="nil"/>
              <w:bottom w:val="single" w:sz="8" w:space="0" w:color="auto"/>
              <w:right w:val="nil"/>
            </w:tcBorders>
            <w:shd w:val="clear" w:color="auto" w:fill="auto"/>
            <w:noWrap/>
            <w:vAlign w:val="center"/>
            <w:hideMark/>
          </w:tcPr>
          <w:p w14:paraId="5E5C2E5E"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w:t>
            </w:r>
          </w:p>
        </w:tc>
        <w:tc>
          <w:tcPr>
            <w:tcW w:w="1275" w:type="dxa"/>
            <w:tcBorders>
              <w:top w:val="nil"/>
              <w:left w:val="nil"/>
              <w:bottom w:val="single" w:sz="8" w:space="0" w:color="auto"/>
              <w:right w:val="nil"/>
            </w:tcBorders>
            <w:shd w:val="clear" w:color="auto" w:fill="auto"/>
            <w:noWrap/>
            <w:vAlign w:val="center"/>
            <w:hideMark/>
          </w:tcPr>
          <w:p w14:paraId="116BAADC"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5</w:t>
            </w:r>
          </w:p>
        </w:tc>
        <w:tc>
          <w:tcPr>
            <w:tcW w:w="960" w:type="dxa"/>
            <w:tcBorders>
              <w:top w:val="nil"/>
              <w:left w:val="nil"/>
              <w:bottom w:val="single" w:sz="8" w:space="0" w:color="auto"/>
              <w:right w:val="nil"/>
            </w:tcBorders>
            <w:shd w:val="clear" w:color="auto" w:fill="auto"/>
            <w:noWrap/>
            <w:vAlign w:val="center"/>
            <w:hideMark/>
          </w:tcPr>
          <w:p w14:paraId="6A86842C"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6(5/3)</w:t>
            </w:r>
          </w:p>
        </w:tc>
        <w:tc>
          <w:tcPr>
            <w:tcW w:w="883" w:type="dxa"/>
            <w:tcBorders>
              <w:top w:val="nil"/>
              <w:left w:val="nil"/>
              <w:bottom w:val="single" w:sz="8" w:space="0" w:color="auto"/>
              <w:right w:val="nil"/>
            </w:tcBorders>
            <w:shd w:val="clear" w:color="auto" w:fill="auto"/>
            <w:noWrap/>
            <w:vAlign w:val="center"/>
            <w:hideMark/>
          </w:tcPr>
          <w:p w14:paraId="45898C69"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7(5/4)</w:t>
            </w:r>
          </w:p>
        </w:tc>
        <w:tc>
          <w:tcPr>
            <w:tcW w:w="1276" w:type="dxa"/>
            <w:tcBorders>
              <w:top w:val="nil"/>
              <w:left w:val="nil"/>
              <w:bottom w:val="single" w:sz="8" w:space="0" w:color="auto"/>
              <w:right w:val="nil"/>
            </w:tcBorders>
            <w:shd w:val="clear" w:color="auto" w:fill="auto"/>
            <w:noWrap/>
            <w:vAlign w:val="center"/>
            <w:hideMark/>
          </w:tcPr>
          <w:p w14:paraId="48DC7EB9"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8</w:t>
            </w:r>
          </w:p>
        </w:tc>
        <w:tc>
          <w:tcPr>
            <w:tcW w:w="1276" w:type="dxa"/>
            <w:tcBorders>
              <w:top w:val="nil"/>
              <w:left w:val="nil"/>
              <w:bottom w:val="single" w:sz="8" w:space="0" w:color="auto"/>
              <w:right w:val="nil"/>
            </w:tcBorders>
            <w:shd w:val="clear" w:color="auto" w:fill="auto"/>
            <w:noWrap/>
            <w:vAlign w:val="center"/>
            <w:hideMark/>
          </w:tcPr>
          <w:p w14:paraId="4DF64C3C"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9</w:t>
            </w:r>
          </w:p>
        </w:tc>
      </w:tr>
      <w:tr w:rsidR="00D10805" w:rsidRPr="00A17B6F" w14:paraId="0BB339CA" w14:textId="77777777" w:rsidTr="00D10805">
        <w:trPr>
          <w:trHeight w:val="315"/>
        </w:trPr>
        <w:tc>
          <w:tcPr>
            <w:tcW w:w="709" w:type="dxa"/>
            <w:tcBorders>
              <w:top w:val="nil"/>
              <w:left w:val="nil"/>
              <w:bottom w:val="single" w:sz="8" w:space="0" w:color="auto"/>
              <w:right w:val="nil"/>
            </w:tcBorders>
            <w:shd w:val="clear" w:color="000000" w:fill="F2F2F2"/>
            <w:noWrap/>
            <w:vAlign w:val="center"/>
            <w:hideMark/>
          </w:tcPr>
          <w:p w14:paraId="6EE997FD"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w:t>
            </w:r>
          </w:p>
        </w:tc>
        <w:tc>
          <w:tcPr>
            <w:tcW w:w="2309" w:type="dxa"/>
            <w:tcBorders>
              <w:top w:val="nil"/>
              <w:left w:val="nil"/>
              <w:bottom w:val="single" w:sz="8" w:space="0" w:color="auto"/>
              <w:right w:val="nil"/>
            </w:tcBorders>
            <w:shd w:val="clear" w:color="000000" w:fill="F2F2F2"/>
            <w:vAlign w:val="center"/>
            <w:hideMark/>
          </w:tcPr>
          <w:p w14:paraId="1278C650"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PRIHODI POSLOVANJA</w:t>
            </w:r>
          </w:p>
        </w:tc>
        <w:tc>
          <w:tcPr>
            <w:tcW w:w="1235" w:type="dxa"/>
            <w:tcBorders>
              <w:top w:val="nil"/>
              <w:left w:val="nil"/>
              <w:bottom w:val="single" w:sz="8" w:space="0" w:color="auto"/>
              <w:right w:val="nil"/>
            </w:tcBorders>
            <w:shd w:val="clear" w:color="000000" w:fill="F2F2F2"/>
            <w:noWrap/>
            <w:vAlign w:val="center"/>
            <w:hideMark/>
          </w:tcPr>
          <w:p w14:paraId="3E5CB937"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102.090.151,81</w:t>
            </w:r>
          </w:p>
        </w:tc>
        <w:tc>
          <w:tcPr>
            <w:tcW w:w="1276" w:type="dxa"/>
            <w:tcBorders>
              <w:top w:val="nil"/>
              <w:left w:val="nil"/>
              <w:bottom w:val="single" w:sz="8" w:space="0" w:color="auto"/>
              <w:right w:val="nil"/>
            </w:tcBorders>
            <w:shd w:val="clear" w:color="000000" w:fill="F2F2F2"/>
            <w:noWrap/>
            <w:vAlign w:val="center"/>
            <w:hideMark/>
          </w:tcPr>
          <w:p w14:paraId="063A37C5"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280.074.999,81</w:t>
            </w:r>
          </w:p>
        </w:tc>
        <w:tc>
          <w:tcPr>
            <w:tcW w:w="1275" w:type="dxa"/>
            <w:tcBorders>
              <w:top w:val="nil"/>
              <w:left w:val="nil"/>
              <w:bottom w:val="single" w:sz="8" w:space="0" w:color="auto"/>
              <w:right w:val="nil"/>
            </w:tcBorders>
            <w:shd w:val="clear" w:color="000000" w:fill="F2F2F2"/>
            <w:noWrap/>
            <w:vAlign w:val="center"/>
            <w:hideMark/>
          </w:tcPr>
          <w:p w14:paraId="027A2A4E"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132.992.708,15</w:t>
            </w:r>
          </w:p>
        </w:tc>
        <w:tc>
          <w:tcPr>
            <w:tcW w:w="960" w:type="dxa"/>
            <w:tcBorders>
              <w:top w:val="nil"/>
              <w:left w:val="nil"/>
              <w:bottom w:val="single" w:sz="8" w:space="0" w:color="auto"/>
              <w:right w:val="nil"/>
            </w:tcBorders>
            <w:shd w:val="clear" w:color="000000" w:fill="F2F2F2"/>
            <w:noWrap/>
            <w:vAlign w:val="center"/>
            <w:hideMark/>
          </w:tcPr>
          <w:p w14:paraId="23B5AC7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130,27</w:t>
            </w:r>
          </w:p>
        </w:tc>
        <w:tc>
          <w:tcPr>
            <w:tcW w:w="883" w:type="dxa"/>
            <w:tcBorders>
              <w:top w:val="nil"/>
              <w:left w:val="nil"/>
              <w:bottom w:val="single" w:sz="8" w:space="0" w:color="auto"/>
              <w:right w:val="nil"/>
            </w:tcBorders>
            <w:shd w:val="clear" w:color="000000" w:fill="F2F2F2"/>
            <w:noWrap/>
            <w:vAlign w:val="center"/>
            <w:hideMark/>
          </w:tcPr>
          <w:p w14:paraId="0BA6C2B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47,48</w:t>
            </w:r>
          </w:p>
        </w:tc>
        <w:tc>
          <w:tcPr>
            <w:tcW w:w="1276" w:type="dxa"/>
            <w:tcBorders>
              <w:top w:val="nil"/>
              <w:left w:val="nil"/>
              <w:bottom w:val="single" w:sz="8" w:space="0" w:color="auto"/>
              <w:right w:val="nil"/>
            </w:tcBorders>
            <w:shd w:val="clear" w:color="000000" w:fill="F2F2F2"/>
            <w:noWrap/>
            <w:vAlign w:val="center"/>
            <w:hideMark/>
          </w:tcPr>
          <w:p w14:paraId="17893476"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36.998.988,64</w:t>
            </w:r>
          </w:p>
        </w:tc>
        <w:tc>
          <w:tcPr>
            <w:tcW w:w="1276" w:type="dxa"/>
            <w:tcBorders>
              <w:top w:val="nil"/>
              <w:left w:val="nil"/>
              <w:bottom w:val="single" w:sz="8" w:space="0" w:color="auto"/>
              <w:right w:val="nil"/>
            </w:tcBorders>
            <w:shd w:val="clear" w:color="000000" w:fill="F2F2F2"/>
            <w:noWrap/>
            <w:vAlign w:val="center"/>
            <w:hideMark/>
          </w:tcPr>
          <w:p w14:paraId="05AE530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95.993.719,51</w:t>
            </w:r>
          </w:p>
        </w:tc>
      </w:tr>
      <w:tr w:rsidR="00D10805" w:rsidRPr="00A17B6F" w14:paraId="5D490B80" w14:textId="77777777" w:rsidTr="00D10805">
        <w:trPr>
          <w:trHeight w:val="300"/>
        </w:trPr>
        <w:tc>
          <w:tcPr>
            <w:tcW w:w="709" w:type="dxa"/>
            <w:tcBorders>
              <w:top w:val="nil"/>
              <w:left w:val="nil"/>
              <w:bottom w:val="nil"/>
              <w:right w:val="nil"/>
            </w:tcBorders>
            <w:shd w:val="clear" w:color="auto" w:fill="auto"/>
            <w:vAlign w:val="center"/>
            <w:hideMark/>
          </w:tcPr>
          <w:p w14:paraId="75BCA77D"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61</w:t>
            </w:r>
          </w:p>
        </w:tc>
        <w:tc>
          <w:tcPr>
            <w:tcW w:w="2309" w:type="dxa"/>
            <w:tcBorders>
              <w:top w:val="nil"/>
              <w:left w:val="nil"/>
              <w:bottom w:val="nil"/>
              <w:right w:val="nil"/>
            </w:tcBorders>
            <w:shd w:val="clear" w:color="auto" w:fill="auto"/>
            <w:vAlign w:val="center"/>
            <w:hideMark/>
          </w:tcPr>
          <w:p w14:paraId="61724D96"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Porezni prihodi</w:t>
            </w:r>
          </w:p>
        </w:tc>
        <w:tc>
          <w:tcPr>
            <w:tcW w:w="1235" w:type="dxa"/>
            <w:tcBorders>
              <w:top w:val="nil"/>
              <w:left w:val="nil"/>
              <w:bottom w:val="nil"/>
              <w:right w:val="nil"/>
            </w:tcBorders>
            <w:shd w:val="clear" w:color="auto" w:fill="auto"/>
            <w:noWrap/>
            <w:vAlign w:val="center"/>
            <w:hideMark/>
          </w:tcPr>
          <w:p w14:paraId="791751F9"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21.163.847,06</w:t>
            </w:r>
          </w:p>
        </w:tc>
        <w:tc>
          <w:tcPr>
            <w:tcW w:w="1276" w:type="dxa"/>
            <w:tcBorders>
              <w:top w:val="nil"/>
              <w:left w:val="nil"/>
              <w:bottom w:val="nil"/>
              <w:right w:val="nil"/>
            </w:tcBorders>
            <w:shd w:val="clear" w:color="auto" w:fill="auto"/>
            <w:noWrap/>
            <w:vAlign w:val="center"/>
            <w:hideMark/>
          </w:tcPr>
          <w:p w14:paraId="0EB0BF89"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63.183.331,00</w:t>
            </w:r>
          </w:p>
        </w:tc>
        <w:tc>
          <w:tcPr>
            <w:tcW w:w="1275" w:type="dxa"/>
            <w:tcBorders>
              <w:top w:val="nil"/>
              <w:left w:val="nil"/>
              <w:bottom w:val="nil"/>
              <w:right w:val="nil"/>
            </w:tcBorders>
            <w:shd w:val="clear" w:color="auto" w:fill="auto"/>
            <w:noWrap/>
            <w:vAlign w:val="center"/>
            <w:hideMark/>
          </w:tcPr>
          <w:p w14:paraId="2DB0AAD6"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28.915.302,75</w:t>
            </w:r>
          </w:p>
        </w:tc>
        <w:tc>
          <w:tcPr>
            <w:tcW w:w="960" w:type="dxa"/>
            <w:tcBorders>
              <w:top w:val="nil"/>
              <w:left w:val="nil"/>
              <w:bottom w:val="nil"/>
              <w:right w:val="nil"/>
            </w:tcBorders>
            <w:shd w:val="clear" w:color="auto" w:fill="auto"/>
            <w:noWrap/>
            <w:vAlign w:val="center"/>
            <w:hideMark/>
          </w:tcPr>
          <w:p w14:paraId="6D9692D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136,63</w:t>
            </w:r>
          </w:p>
        </w:tc>
        <w:tc>
          <w:tcPr>
            <w:tcW w:w="883" w:type="dxa"/>
            <w:tcBorders>
              <w:top w:val="nil"/>
              <w:left w:val="nil"/>
              <w:bottom w:val="nil"/>
              <w:right w:val="nil"/>
            </w:tcBorders>
            <w:shd w:val="clear" w:color="auto" w:fill="auto"/>
            <w:noWrap/>
            <w:vAlign w:val="center"/>
            <w:hideMark/>
          </w:tcPr>
          <w:p w14:paraId="448BCCF8"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45,76</w:t>
            </w:r>
          </w:p>
        </w:tc>
        <w:tc>
          <w:tcPr>
            <w:tcW w:w="1276" w:type="dxa"/>
            <w:tcBorders>
              <w:top w:val="nil"/>
              <w:left w:val="nil"/>
              <w:bottom w:val="nil"/>
              <w:right w:val="nil"/>
            </w:tcBorders>
            <w:shd w:val="clear" w:color="auto" w:fill="auto"/>
            <w:noWrap/>
            <w:vAlign w:val="center"/>
            <w:hideMark/>
          </w:tcPr>
          <w:p w14:paraId="42432CF8"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28.915.302,75</w:t>
            </w:r>
          </w:p>
        </w:tc>
        <w:tc>
          <w:tcPr>
            <w:tcW w:w="1276" w:type="dxa"/>
            <w:tcBorders>
              <w:top w:val="nil"/>
              <w:left w:val="nil"/>
              <w:bottom w:val="nil"/>
              <w:right w:val="nil"/>
            </w:tcBorders>
            <w:shd w:val="clear" w:color="auto" w:fill="auto"/>
            <w:noWrap/>
            <w:vAlign w:val="center"/>
            <w:hideMark/>
          </w:tcPr>
          <w:p w14:paraId="26210EFF"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r>
      <w:tr w:rsidR="00D10805" w:rsidRPr="00A17B6F" w14:paraId="7D64B6A9" w14:textId="77777777" w:rsidTr="00D10805">
        <w:trPr>
          <w:trHeight w:val="300"/>
        </w:trPr>
        <w:tc>
          <w:tcPr>
            <w:tcW w:w="709" w:type="dxa"/>
            <w:tcBorders>
              <w:top w:val="nil"/>
              <w:left w:val="nil"/>
              <w:bottom w:val="nil"/>
              <w:right w:val="nil"/>
            </w:tcBorders>
            <w:shd w:val="clear" w:color="auto" w:fill="auto"/>
            <w:vAlign w:val="center"/>
            <w:hideMark/>
          </w:tcPr>
          <w:p w14:paraId="564B168C"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611</w:t>
            </w:r>
          </w:p>
        </w:tc>
        <w:tc>
          <w:tcPr>
            <w:tcW w:w="2309" w:type="dxa"/>
            <w:tcBorders>
              <w:top w:val="nil"/>
              <w:left w:val="nil"/>
              <w:bottom w:val="nil"/>
              <w:right w:val="nil"/>
            </w:tcBorders>
            <w:shd w:val="clear" w:color="auto" w:fill="auto"/>
            <w:vAlign w:val="center"/>
            <w:hideMark/>
          </w:tcPr>
          <w:p w14:paraId="19ACEC07"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Porez na dohodak</w:t>
            </w:r>
          </w:p>
        </w:tc>
        <w:tc>
          <w:tcPr>
            <w:tcW w:w="1235" w:type="dxa"/>
            <w:tcBorders>
              <w:top w:val="nil"/>
              <w:left w:val="nil"/>
              <w:bottom w:val="nil"/>
              <w:right w:val="nil"/>
            </w:tcBorders>
            <w:shd w:val="clear" w:color="auto" w:fill="auto"/>
            <w:noWrap/>
            <w:vAlign w:val="center"/>
            <w:hideMark/>
          </w:tcPr>
          <w:p w14:paraId="19E782FD"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19.416.427,44</w:t>
            </w:r>
          </w:p>
        </w:tc>
        <w:tc>
          <w:tcPr>
            <w:tcW w:w="1276" w:type="dxa"/>
            <w:tcBorders>
              <w:top w:val="nil"/>
              <w:left w:val="nil"/>
              <w:bottom w:val="nil"/>
              <w:right w:val="nil"/>
            </w:tcBorders>
            <w:shd w:val="clear" w:color="auto" w:fill="auto"/>
            <w:noWrap/>
            <w:vAlign w:val="center"/>
            <w:hideMark/>
          </w:tcPr>
          <w:p w14:paraId="6198F176"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59.667.931,00</w:t>
            </w:r>
          </w:p>
        </w:tc>
        <w:tc>
          <w:tcPr>
            <w:tcW w:w="1275" w:type="dxa"/>
            <w:tcBorders>
              <w:top w:val="nil"/>
              <w:left w:val="nil"/>
              <w:bottom w:val="nil"/>
              <w:right w:val="nil"/>
            </w:tcBorders>
            <w:shd w:val="clear" w:color="auto" w:fill="auto"/>
            <w:noWrap/>
            <w:vAlign w:val="center"/>
            <w:hideMark/>
          </w:tcPr>
          <w:p w14:paraId="437415A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27.000.013,48</w:t>
            </w:r>
          </w:p>
        </w:tc>
        <w:tc>
          <w:tcPr>
            <w:tcW w:w="960" w:type="dxa"/>
            <w:tcBorders>
              <w:top w:val="nil"/>
              <w:left w:val="nil"/>
              <w:bottom w:val="nil"/>
              <w:right w:val="nil"/>
            </w:tcBorders>
            <w:shd w:val="clear" w:color="auto" w:fill="auto"/>
            <w:noWrap/>
            <w:vAlign w:val="center"/>
            <w:hideMark/>
          </w:tcPr>
          <w:p w14:paraId="576EB28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139,06</w:t>
            </w:r>
          </w:p>
        </w:tc>
        <w:tc>
          <w:tcPr>
            <w:tcW w:w="883" w:type="dxa"/>
            <w:tcBorders>
              <w:top w:val="nil"/>
              <w:left w:val="nil"/>
              <w:bottom w:val="nil"/>
              <w:right w:val="nil"/>
            </w:tcBorders>
            <w:shd w:val="clear" w:color="auto" w:fill="auto"/>
            <w:noWrap/>
            <w:vAlign w:val="center"/>
            <w:hideMark/>
          </w:tcPr>
          <w:p w14:paraId="4CC4CF19"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45,25</w:t>
            </w:r>
          </w:p>
        </w:tc>
        <w:tc>
          <w:tcPr>
            <w:tcW w:w="1276" w:type="dxa"/>
            <w:tcBorders>
              <w:top w:val="nil"/>
              <w:left w:val="nil"/>
              <w:bottom w:val="nil"/>
              <w:right w:val="nil"/>
            </w:tcBorders>
            <w:shd w:val="clear" w:color="auto" w:fill="auto"/>
            <w:noWrap/>
            <w:vAlign w:val="center"/>
            <w:hideMark/>
          </w:tcPr>
          <w:p w14:paraId="3549BFEF"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27.000.013,48</w:t>
            </w:r>
          </w:p>
        </w:tc>
        <w:tc>
          <w:tcPr>
            <w:tcW w:w="1276" w:type="dxa"/>
            <w:tcBorders>
              <w:top w:val="nil"/>
              <w:left w:val="nil"/>
              <w:bottom w:val="nil"/>
              <w:right w:val="nil"/>
            </w:tcBorders>
            <w:shd w:val="clear" w:color="auto" w:fill="auto"/>
            <w:noWrap/>
            <w:vAlign w:val="center"/>
            <w:hideMark/>
          </w:tcPr>
          <w:p w14:paraId="69550319"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0,00</w:t>
            </w:r>
          </w:p>
        </w:tc>
      </w:tr>
      <w:tr w:rsidR="00D10805" w:rsidRPr="00A17B6F" w14:paraId="2AA694F8" w14:textId="77777777" w:rsidTr="00D10805">
        <w:trPr>
          <w:trHeight w:val="480"/>
        </w:trPr>
        <w:tc>
          <w:tcPr>
            <w:tcW w:w="709" w:type="dxa"/>
            <w:tcBorders>
              <w:top w:val="nil"/>
              <w:left w:val="nil"/>
              <w:bottom w:val="nil"/>
              <w:right w:val="nil"/>
            </w:tcBorders>
            <w:shd w:val="clear" w:color="auto" w:fill="auto"/>
            <w:vAlign w:val="center"/>
            <w:hideMark/>
          </w:tcPr>
          <w:p w14:paraId="1BC076C5"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p>
        </w:tc>
        <w:tc>
          <w:tcPr>
            <w:tcW w:w="2309" w:type="dxa"/>
            <w:tcBorders>
              <w:top w:val="nil"/>
              <w:left w:val="nil"/>
              <w:bottom w:val="nil"/>
              <w:right w:val="nil"/>
            </w:tcBorders>
            <w:shd w:val="clear" w:color="auto" w:fill="auto"/>
            <w:vAlign w:val="center"/>
            <w:hideMark/>
          </w:tcPr>
          <w:p w14:paraId="41992355"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 xml:space="preserve">   - porez na dohodak za decentralizirane funkcije</w:t>
            </w:r>
          </w:p>
        </w:tc>
        <w:tc>
          <w:tcPr>
            <w:tcW w:w="1235" w:type="dxa"/>
            <w:tcBorders>
              <w:top w:val="nil"/>
              <w:left w:val="nil"/>
              <w:bottom w:val="nil"/>
              <w:right w:val="nil"/>
            </w:tcBorders>
            <w:shd w:val="clear" w:color="auto" w:fill="auto"/>
            <w:noWrap/>
            <w:vAlign w:val="center"/>
            <w:hideMark/>
          </w:tcPr>
          <w:p w14:paraId="2AED3D76"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3.893.278,09</w:t>
            </w:r>
          </w:p>
        </w:tc>
        <w:tc>
          <w:tcPr>
            <w:tcW w:w="1276" w:type="dxa"/>
            <w:tcBorders>
              <w:top w:val="nil"/>
              <w:left w:val="nil"/>
              <w:bottom w:val="nil"/>
              <w:right w:val="nil"/>
            </w:tcBorders>
            <w:shd w:val="clear" w:color="auto" w:fill="auto"/>
            <w:noWrap/>
            <w:vAlign w:val="center"/>
            <w:hideMark/>
          </w:tcPr>
          <w:p w14:paraId="6A5B9994" w14:textId="77777777" w:rsidR="00D10805" w:rsidRPr="00A17B6F" w:rsidRDefault="00D10805" w:rsidP="00D10805">
            <w:pPr>
              <w:spacing w:after="0" w:line="240" w:lineRule="auto"/>
              <w:jc w:val="right"/>
              <w:rPr>
                <w:rFonts w:ascii="Calibri" w:eastAsia="Times New Roman" w:hAnsi="Calibri" w:cs="Calibri"/>
                <w:i/>
                <w:iCs/>
                <w:color w:val="FFFFFF"/>
                <w:sz w:val="16"/>
                <w:szCs w:val="16"/>
                <w:lang w:eastAsia="hr-HR"/>
              </w:rPr>
            </w:pPr>
            <w:r w:rsidRPr="00A17B6F">
              <w:rPr>
                <w:rFonts w:ascii="Calibri" w:eastAsia="Times New Roman" w:hAnsi="Calibri" w:cs="Calibri"/>
                <w:i/>
                <w:iCs/>
                <w:color w:val="FFFFFF"/>
                <w:sz w:val="16"/>
                <w:szCs w:val="16"/>
                <w:lang w:eastAsia="hr-HR"/>
              </w:rPr>
              <w:t>10.367.931,00</w:t>
            </w:r>
          </w:p>
        </w:tc>
        <w:tc>
          <w:tcPr>
            <w:tcW w:w="1275" w:type="dxa"/>
            <w:tcBorders>
              <w:top w:val="nil"/>
              <w:left w:val="nil"/>
              <w:bottom w:val="nil"/>
              <w:right w:val="nil"/>
            </w:tcBorders>
            <w:shd w:val="clear" w:color="auto" w:fill="auto"/>
            <w:noWrap/>
            <w:vAlign w:val="center"/>
            <w:hideMark/>
          </w:tcPr>
          <w:p w14:paraId="571FA811"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4.780.662,25</w:t>
            </w:r>
          </w:p>
        </w:tc>
        <w:tc>
          <w:tcPr>
            <w:tcW w:w="960" w:type="dxa"/>
            <w:tcBorders>
              <w:top w:val="nil"/>
              <w:left w:val="nil"/>
              <w:bottom w:val="nil"/>
              <w:right w:val="nil"/>
            </w:tcBorders>
            <w:shd w:val="clear" w:color="auto" w:fill="auto"/>
            <w:noWrap/>
            <w:vAlign w:val="center"/>
            <w:hideMark/>
          </w:tcPr>
          <w:p w14:paraId="747F8431"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122,79</w:t>
            </w:r>
          </w:p>
        </w:tc>
        <w:tc>
          <w:tcPr>
            <w:tcW w:w="883" w:type="dxa"/>
            <w:tcBorders>
              <w:top w:val="nil"/>
              <w:left w:val="nil"/>
              <w:bottom w:val="nil"/>
              <w:right w:val="nil"/>
            </w:tcBorders>
            <w:shd w:val="clear" w:color="auto" w:fill="auto"/>
            <w:noWrap/>
            <w:vAlign w:val="center"/>
            <w:hideMark/>
          </w:tcPr>
          <w:p w14:paraId="5AFF3AD8" w14:textId="77777777" w:rsidR="00D10805" w:rsidRPr="00A17B6F" w:rsidRDefault="00D10805" w:rsidP="00D10805">
            <w:pPr>
              <w:spacing w:after="0" w:line="240" w:lineRule="auto"/>
              <w:jc w:val="right"/>
              <w:rPr>
                <w:rFonts w:ascii="Calibri" w:eastAsia="Times New Roman" w:hAnsi="Calibri" w:cs="Calibri"/>
                <w:i/>
                <w:iCs/>
                <w:color w:val="FFFFFF"/>
                <w:sz w:val="16"/>
                <w:szCs w:val="16"/>
                <w:lang w:eastAsia="hr-HR"/>
              </w:rPr>
            </w:pPr>
            <w:r w:rsidRPr="00A17B6F">
              <w:rPr>
                <w:rFonts w:ascii="Calibri" w:eastAsia="Times New Roman" w:hAnsi="Calibri" w:cs="Calibri"/>
                <w:i/>
                <w:iCs/>
                <w:color w:val="FFFFFF"/>
                <w:sz w:val="16"/>
                <w:szCs w:val="16"/>
                <w:lang w:eastAsia="hr-HR"/>
              </w:rPr>
              <w:t>46,11</w:t>
            </w:r>
          </w:p>
        </w:tc>
        <w:tc>
          <w:tcPr>
            <w:tcW w:w="1276" w:type="dxa"/>
            <w:tcBorders>
              <w:top w:val="nil"/>
              <w:left w:val="nil"/>
              <w:bottom w:val="nil"/>
              <w:right w:val="nil"/>
            </w:tcBorders>
            <w:shd w:val="clear" w:color="auto" w:fill="auto"/>
            <w:noWrap/>
            <w:vAlign w:val="center"/>
            <w:hideMark/>
          </w:tcPr>
          <w:p w14:paraId="0C8151CE"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4.780.662,25</w:t>
            </w:r>
          </w:p>
        </w:tc>
        <w:tc>
          <w:tcPr>
            <w:tcW w:w="1276" w:type="dxa"/>
            <w:tcBorders>
              <w:top w:val="nil"/>
              <w:left w:val="nil"/>
              <w:bottom w:val="nil"/>
              <w:right w:val="nil"/>
            </w:tcBorders>
            <w:shd w:val="clear" w:color="auto" w:fill="auto"/>
            <w:noWrap/>
            <w:vAlign w:val="center"/>
            <w:hideMark/>
          </w:tcPr>
          <w:p w14:paraId="582BFD70"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0,00</w:t>
            </w:r>
          </w:p>
        </w:tc>
      </w:tr>
      <w:tr w:rsidR="00D10805" w:rsidRPr="00A17B6F" w14:paraId="15D178FC" w14:textId="77777777" w:rsidTr="00D10805">
        <w:trPr>
          <w:trHeight w:val="480"/>
        </w:trPr>
        <w:tc>
          <w:tcPr>
            <w:tcW w:w="709" w:type="dxa"/>
            <w:tcBorders>
              <w:top w:val="nil"/>
              <w:left w:val="nil"/>
              <w:bottom w:val="nil"/>
              <w:right w:val="nil"/>
            </w:tcBorders>
            <w:shd w:val="clear" w:color="auto" w:fill="auto"/>
            <w:noWrap/>
            <w:vAlign w:val="center"/>
            <w:hideMark/>
          </w:tcPr>
          <w:p w14:paraId="53ADBB6B"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p>
        </w:tc>
        <w:tc>
          <w:tcPr>
            <w:tcW w:w="2309" w:type="dxa"/>
            <w:tcBorders>
              <w:top w:val="nil"/>
              <w:left w:val="nil"/>
              <w:bottom w:val="nil"/>
              <w:right w:val="nil"/>
            </w:tcBorders>
            <w:shd w:val="clear" w:color="auto" w:fill="auto"/>
            <w:vAlign w:val="center"/>
            <w:hideMark/>
          </w:tcPr>
          <w:p w14:paraId="4AFBE318"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 xml:space="preserve">   - porez na dohodak za ostale namjene</w:t>
            </w:r>
          </w:p>
        </w:tc>
        <w:tc>
          <w:tcPr>
            <w:tcW w:w="1235" w:type="dxa"/>
            <w:tcBorders>
              <w:top w:val="nil"/>
              <w:left w:val="nil"/>
              <w:bottom w:val="nil"/>
              <w:right w:val="nil"/>
            </w:tcBorders>
            <w:shd w:val="clear" w:color="auto" w:fill="auto"/>
            <w:noWrap/>
            <w:vAlign w:val="center"/>
            <w:hideMark/>
          </w:tcPr>
          <w:p w14:paraId="3C43E6C9"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15.523.149,35</w:t>
            </w:r>
          </w:p>
        </w:tc>
        <w:tc>
          <w:tcPr>
            <w:tcW w:w="1276" w:type="dxa"/>
            <w:tcBorders>
              <w:top w:val="nil"/>
              <w:left w:val="nil"/>
              <w:bottom w:val="nil"/>
              <w:right w:val="nil"/>
            </w:tcBorders>
            <w:shd w:val="clear" w:color="auto" w:fill="auto"/>
            <w:noWrap/>
            <w:vAlign w:val="center"/>
            <w:hideMark/>
          </w:tcPr>
          <w:p w14:paraId="13F98969" w14:textId="77777777" w:rsidR="00D10805" w:rsidRPr="00A17B6F" w:rsidRDefault="00D10805" w:rsidP="00D10805">
            <w:pPr>
              <w:spacing w:after="0" w:line="240" w:lineRule="auto"/>
              <w:jc w:val="right"/>
              <w:rPr>
                <w:rFonts w:ascii="Calibri" w:eastAsia="Times New Roman" w:hAnsi="Calibri" w:cs="Calibri"/>
                <w:i/>
                <w:iCs/>
                <w:color w:val="FFFFFF"/>
                <w:sz w:val="16"/>
                <w:szCs w:val="16"/>
                <w:lang w:eastAsia="hr-HR"/>
              </w:rPr>
            </w:pPr>
            <w:r w:rsidRPr="00A17B6F">
              <w:rPr>
                <w:rFonts w:ascii="Calibri" w:eastAsia="Times New Roman" w:hAnsi="Calibri" w:cs="Calibri"/>
                <w:i/>
                <w:iCs/>
                <w:color w:val="FFFFFF"/>
                <w:sz w:val="16"/>
                <w:szCs w:val="16"/>
                <w:lang w:eastAsia="hr-HR"/>
              </w:rPr>
              <w:t>49.300.000,00</w:t>
            </w:r>
          </w:p>
        </w:tc>
        <w:tc>
          <w:tcPr>
            <w:tcW w:w="1275" w:type="dxa"/>
            <w:tcBorders>
              <w:top w:val="nil"/>
              <w:left w:val="nil"/>
              <w:bottom w:val="nil"/>
              <w:right w:val="nil"/>
            </w:tcBorders>
            <w:shd w:val="clear" w:color="auto" w:fill="auto"/>
            <w:noWrap/>
            <w:vAlign w:val="center"/>
            <w:hideMark/>
          </w:tcPr>
          <w:p w14:paraId="67193332"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22.219.351,23</w:t>
            </w:r>
          </w:p>
        </w:tc>
        <w:tc>
          <w:tcPr>
            <w:tcW w:w="960" w:type="dxa"/>
            <w:tcBorders>
              <w:top w:val="nil"/>
              <w:left w:val="nil"/>
              <w:bottom w:val="nil"/>
              <w:right w:val="nil"/>
            </w:tcBorders>
            <w:shd w:val="clear" w:color="auto" w:fill="auto"/>
            <w:noWrap/>
            <w:vAlign w:val="center"/>
            <w:hideMark/>
          </w:tcPr>
          <w:p w14:paraId="4CCDEBE4"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143,14</w:t>
            </w:r>
          </w:p>
        </w:tc>
        <w:tc>
          <w:tcPr>
            <w:tcW w:w="883" w:type="dxa"/>
            <w:tcBorders>
              <w:top w:val="nil"/>
              <w:left w:val="nil"/>
              <w:bottom w:val="nil"/>
              <w:right w:val="nil"/>
            </w:tcBorders>
            <w:shd w:val="clear" w:color="auto" w:fill="auto"/>
            <w:noWrap/>
            <w:vAlign w:val="center"/>
            <w:hideMark/>
          </w:tcPr>
          <w:p w14:paraId="12DF64CB" w14:textId="77777777" w:rsidR="00D10805" w:rsidRPr="00A17B6F" w:rsidRDefault="00D10805" w:rsidP="00D10805">
            <w:pPr>
              <w:spacing w:after="0" w:line="240" w:lineRule="auto"/>
              <w:jc w:val="right"/>
              <w:rPr>
                <w:rFonts w:ascii="Calibri" w:eastAsia="Times New Roman" w:hAnsi="Calibri" w:cs="Calibri"/>
                <w:i/>
                <w:iCs/>
                <w:color w:val="FFFFFF"/>
                <w:sz w:val="16"/>
                <w:szCs w:val="16"/>
                <w:lang w:eastAsia="hr-HR"/>
              </w:rPr>
            </w:pPr>
            <w:r w:rsidRPr="00A17B6F">
              <w:rPr>
                <w:rFonts w:ascii="Calibri" w:eastAsia="Times New Roman" w:hAnsi="Calibri" w:cs="Calibri"/>
                <w:i/>
                <w:iCs/>
                <w:color w:val="FFFFFF"/>
                <w:sz w:val="16"/>
                <w:szCs w:val="16"/>
                <w:lang w:eastAsia="hr-HR"/>
              </w:rPr>
              <w:t>45,07</w:t>
            </w:r>
          </w:p>
        </w:tc>
        <w:tc>
          <w:tcPr>
            <w:tcW w:w="1276" w:type="dxa"/>
            <w:tcBorders>
              <w:top w:val="nil"/>
              <w:left w:val="nil"/>
              <w:bottom w:val="nil"/>
              <w:right w:val="nil"/>
            </w:tcBorders>
            <w:shd w:val="clear" w:color="auto" w:fill="auto"/>
            <w:noWrap/>
            <w:vAlign w:val="center"/>
            <w:hideMark/>
          </w:tcPr>
          <w:p w14:paraId="1F2A86DB"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22.219.351,23</w:t>
            </w:r>
          </w:p>
        </w:tc>
        <w:tc>
          <w:tcPr>
            <w:tcW w:w="1276" w:type="dxa"/>
            <w:tcBorders>
              <w:top w:val="nil"/>
              <w:left w:val="nil"/>
              <w:bottom w:val="nil"/>
              <w:right w:val="nil"/>
            </w:tcBorders>
            <w:shd w:val="clear" w:color="auto" w:fill="auto"/>
            <w:noWrap/>
            <w:vAlign w:val="center"/>
            <w:hideMark/>
          </w:tcPr>
          <w:p w14:paraId="3D84417F"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0,00</w:t>
            </w:r>
          </w:p>
        </w:tc>
      </w:tr>
      <w:tr w:rsidR="00D10805" w:rsidRPr="00A17B6F" w14:paraId="12BD8BA0" w14:textId="77777777" w:rsidTr="00D10805">
        <w:trPr>
          <w:trHeight w:val="300"/>
        </w:trPr>
        <w:tc>
          <w:tcPr>
            <w:tcW w:w="709" w:type="dxa"/>
            <w:tcBorders>
              <w:top w:val="nil"/>
              <w:left w:val="nil"/>
              <w:bottom w:val="nil"/>
              <w:right w:val="nil"/>
            </w:tcBorders>
            <w:shd w:val="clear" w:color="auto" w:fill="auto"/>
            <w:noWrap/>
            <w:vAlign w:val="center"/>
            <w:hideMark/>
          </w:tcPr>
          <w:p w14:paraId="201B18D7"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613</w:t>
            </w:r>
          </w:p>
        </w:tc>
        <w:tc>
          <w:tcPr>
            <w:tcW w:w="2309" w:type="dxa"/>
            <w:tcBorders>
              <w:top w:val="nil"/>
              <w:left w:val="nil"/>
              <w:bottom w:val="nil"/>
              <w:right w:val="nil"/>
            </w:tcBorders>
            <w:shd w:val="clear" w:color="auto" w:fill="auto"/>
            <w:vAlign w:val="center"/>
            <w:hideMark/>
          </w:tcPr>
          <w:p w14:paraId="4A94B9E9"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Porezi na imovinu</w:t>
            </w:r>
          </w:p>
        </w:tc>
        <w:tc>
          <w:tcPr>
            <w:tcW w:w="1235" w:type="dxa"/>
            <w:tcBorders>
              <w:top w:val="nil"/>
              <w:left w:val="nil"/>
              <w:bottom w:val="nil"/>
              <w:right w:val="nil"/>
            </w:tcBorders>
            <w:shd w:val="clear" w:color="auto" w:fill="auto"/>
            <w:noWrap/>
            <w:vAlign w:val="center"/>
            <w:hideMark/>
          </w:tcPr>
          <w:p w14:paraId="46ACF643"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150.579,77</w:t>
            </w:r>
          </w:p>
        </w:tc>
        <w:tc>
          <w:tcPr>
            <w:tcW w:w="1276" w:type="dxa"/>
            <w:tcBorders>
              <w:top w:val="nil"/>
              <w:left w:val="nil"/>
              <w:bottom w:val="nil"/>
              <w:right w:val="nil"/>
            </w:tcBorders>
            <w:shd w:val="clear" w:color="auto" w:fill="auto"/>
            <w:noWrap/>
            <w:vAlign w:val="center"/>
            <w:hideMark/>
          </w:tcPr>
          <w:p w14:paraId="74704147"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205.000,00</w:t>
            </w:r>
          </w:p>
        </w:tc>
        <w:tc>
          <w:tcPr>
            <w:tcW w:w="1275" w:type="dxa"/>
            <w:tcBorders>
              <w:top w:val="nil"/>
              <w:left w:val="nil"/>
              <w:bottom w:val="nil"/>
              <w:right w:val="nil"/>
            </w:tcBorders>
            <w:shd w:val="clear" w:color="auto" w:fill="auto"/>
            <w:noWrap/>
            <w:vAlign w:val="center"/>
            <w:hideMark/>
          </w:tcPr>
          <w:p w14:paraId="118531F0"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131.761,92</w:t>
            </w:r>
          </w:p>
        </w:tc>
        <w:tc>
          <w:tcPr>
            <w:tcW w:w="960" w:type="dxa"/>
            <w:tcBorders>
              <w:top w:val="nil"/>
              <w:left w:val="nil"/>
              <w:bottom w:val="nil"/>
              <w:right w:val="nil"/>
            </w:tcBorders>
            <w:shd w:val="clear" w:color="auto" w:fill="auto"/>
            <w:noWrap/>
            <w:vAlign w:val="center"/>
            <w:hideMark/>
          </w:tcPr>
          <w:p w14:paraId="3DD98274"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87,50</w:t>
            </w:r>
          </w:p>
        </w:tc>
        <w:tc>
          <w:tcPr>
            <w:tcW w:w="883" w:type="dxa"/>
            <w:tcBorders>
              <w:top w:val="nil"/>
              <w:left w:val="nil"/>
              <w:bottom w:val="nil"/>
              <w:right w:val="nil"/>
            </w:tcBorders>
            <w:shd w:val="clear" w:color="auto" w:fill="auto"/>
            <w:noWrap/>
            <w:vAlign w:val="center"/>
            <w:hideMark/>
          </w:tcPr>
          <w:p w14:paraId="5C6E73CE" w14:textId="77777777" w:rsidR="00D10805" w:rsidRPr="00A17B6F" w:rsidRDefault="00D10805" w:rsidP="00D10805">
            <w:pPr>
              <w:spacing w:after="0" w:line="240" w:lineRule="auto"/>
              <w:jc w:val="right"/>
              <w:rPr>
                <w:rFonts w:ascii="Calibri" w:eastAsia="Times New Roman" w:hAnsi="Calibri" w:cs="Calibri"/>
                <w:i/>
                <w:iCs/>
                <w:color w:val="FFFFFF"/>
                <w:sz w:val="16"/>
                <w:szCs w:val="16"/>
                <w:lang w:eastAsia="hr-HR"/>
              </w:rPr>
            </w:pPr>
            <w:r w:rsidRPr="00A17B6F">
              <w:rPr>
                <w:rFonts w:ascii="Calibri" w:eastAsia="Times New Roman" w:hAnsi="Calibri" w:cs="Calibri"/>
                <w:i/>
                <w:iCs/>
                <w:color w:val="FFFFFF"/>
                <w:sz w:val="16"/>
                <w:szCs w:val="16"/>
                <w:lang w:eastAsia="hr-HR"/>
              </w:rPr>
              <w:t>64,27</w:t>
            </w:r>
          </w:p>
        </w:tc>
        <w:tc>
          <w:tcPr>
            <w:tcW w:w="1276" w:type="dxa"/>
            <w:tcBorders>
              <w:top w:val="nil"/>
              <w:left w:val="nil"/>
              <w:bottom w:val="nil"/>
              <w:right w:val="nil"/>
            </w:tcBorders>
            <w:shd w:val="clear" w:color="auto" w:fill="auto"/>
            <w:noWrap/>
            <w:vAlign w:val="center"/>
            <w:hideMark/>
          </w:tcPr>
          <w:p w14:paraId="145D939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131.761,92</w:t>
            </w:r>
          </w:p>
        </w:tc>
        <w:tc>
          <w:tcPr>
            <w:tcW w:w="1276" w:type="dxa"/>
            <w:tcBorders>
              <w:top w:val="nil"/>
              <w:left w:val="nil"/>
              <w:bottom w:val="nil"/>
              <w:right w:val="nil"/>
            </w:tcBorders>
            <w:shd w:val="clear" w:color="auto" w:fill="auto"/>
            <w:noWrap/>
            <w:vAlign w:val="center"/>
            <w:hideMark/>
          </w:tcPr>
          <w:p w14:paraId="64F47F1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0,00</w:t>
            </w:r>
          </w:p>
        </w:tc>
      </w:tr>
      <w:tr w:rsidR="00D10805" w:rsidRPr="00A17B6F" w14:paraId="728D27A8" w14:textId="77777777" w:rsidTr="00D10805">
        <w:trPr>
          <w:trHeight w:val="300"/>
        </w:trPr>
        <w:tc>
          <w:tcPr>
            <w:tcW w:w="709" w:type="dxa"/>
            <w:tcBorders>
              <w:top w:val="nil"/>
              <w:left w:val="nil"/>
              <w:bottom w:val="nil"/>
              <w:right w:val="nil"/>
            </w:tcBorders>
            <w:shd w:val="clear" w:color="auto" w:fill="auto"/>
            <w:noWrap/>
            <w:vAlign w:val="center"/>
            <w:hideMark/>
          </w:tcPr>
          <w:p w14:paraId="0CA237EB"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614</w:t>
            </w:r>
          </w:p>
        </w:tc>
        <w:tc>
          <w:tcPr>
            <w:tcW w:w="2309" w:type="dxa"/>
            <w:tcBorders>
              <w:top w:val="nil"/>
              <w:left w:val="nil"/>
              <w:bottom w:val="nil"/>
              <w:right w:val="nil"/>
            </w:tcBorders>
            <w:shd w:val="clear" w:color="auto" w:fill="auto"/>
            <w:vAlign w:val="center"/>
            <w:hideMark/>
          </w:tcPr>
          <w:p w14:paraId="4647EE17"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Porezi na robe i usluge</w:t>
            </w:r>
          </w:p>
        </w:tc>
        <w:tc>
          <w:tcPr>
            <w:tcW w:w="1235" w:type="dxa"/>
            <w:tcBorders>
              <w:top w:val="nil"/>
              <w:left w:val="nil"/>
              <w:bottom w:val="nil"/>
              <w:right w:val="nil"/>
            </w:tcBorders>
            <w:shd w:val="clear" w:color="auto" w:fill="auto"/>
            <w:noWrap/>
            <w:vAlign w:val="center"/>
            <w:hideMark/>
          </w:tcPr>
          <w:p w14:paraId="5085B94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1.596.839,85</w:t>
            </w:r>
          </w:p>
        </w:tc>
        <w:tc>
          <w:tcPr>
            <w:tcW w:w="1276" w:type="dxa"/>
            <w:tcBorders>
              <w:top w:val="nil"/>
              <w:left w:val="nil"/>
              <w:bottom w:val="nil"/>
              <w:right w:val="nil"/>
            </w:tcBorders>
            <w:shd w:val="clear" w:color="auto" w:fill="auto"/>
            <w:noWrap/>
            <w:vAlign w:val="center"/>
            <w:hideMark/>
          </w:tcPr>
          <w:p w14:paraId="3521B93A"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3.310.400,00</w:t>
            </w:r>
          </w:p>
        </w:tc>
        <w:tc>
          <w:tcPr>
            <w:tcW w:w="1275" w:type="dxa"/>
            <w:tcBorders>
              <w:top w:val="nil"/>
              <w:left w:val="nil"/>
              <w:bottom w:val="nil"/>
              <w:right w:val="nil"/>
            </w:tcBorders>
            <w:shd w:val="clear" w:color="auto" w:fill="auto"/>
            <w:noWrap/>
            <w:vAlign w:val="center"/>
            <w:hideMark/>
          </w:tcPr>
          <w:p w14:paraId="69CBB724"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1.783.527,35</w:t>
            </w:r>
          </w:p>
        </w:tc>
        <w:tc>
          <w:tcPr>
            <w:tcW w:w="960" w:type="dxa"/>
            <w:tcBorders>
              <w:top w:val="nil"/>
              <w:left w:val="nil"/>
              <w:bottom w:val="nil"/>
              <w:right w:val="nil"/>
            </w:tcBorders>
            <w:shd w:val="clear" w:color="auto" w:fill="auto"/>
            <w:noWrap/>
            <w:vAlign w:val="center"/>
            <w:hideMark/>
          </w:tcPr>
          <w:p w14:paraId="473DCE73"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111,69</w:t>
            </w:r>
          </w:p>
        </w:tc>
        <w:tc>
          <w:tcPr>
            <w:tcW w:w="883" w:type="dxa"/>
            <w:tcBorders>
              <w:top w:val="nil"/>
              <w:left w:val="nil"/>
              <w:bottom w:val="nil"/>
              <w:right w:val="nil"/>
            </w:tcBorders>
            <w:shd w:val="clear" w:color="auto" w:fill="auto"/>
            <w:noWrap/>
            <w:vAlign w:val="center"/>
            <w:hideMark/>
          </w:tcPr>
          <w:p w14:paraId="2925DA9C" w14:textId="77777777" w:rsidR="00D10805" w:rsidRPr="00A17B6F" w:rsidRDefault="00D10805" w:rsidP="00D10805">
            <w:pPr>
              <w:spacing w:after="0" w:line="240" w:lineRule="auto"/>
              <w:jc w:val="right"/>
              <w:rPr>
                <w:rFonts w:ascii="Calibri" w:eastAsia="Times New Roman" w:hAnsi="Calibri" w:cs="Calibri"/>
                <w:i/>
                <w:iCs/>
                <w:color w:val="FFFFFF"/>
                <w:sz w:val="16"/>
                <w:szCs w:val="16"/>
                <w:lang w:eastAsia="hr-HR"/>
              </w:rPr>
            </w:pPr>
            <w:r w:rsidRPr="00A17B6F">
              <w:rPr>
                <w:rFonts w:ascii="Calibri" w:eastAsia="Times New Roman" w:hAnsi="Calibri" w:cs="Calibri"/>
                <w:i/>
                <w:iCs/>
                <w:color w:val="FFFFFF"/>
                <w:sz w:val="16"/>
                <w:szCs w:val="16"/>
                <w:lang w:eastAsia="hr-HR"/>
              </w:rPr>
              <w:t>53,88</w:t>
            </w:r>
          </w:p>
        </w:tc>
        <w:tc>
          <w:tcPr>
            <w:tcW w:w="1276" w:type="dxa"/>
            <w:tcBorders>
              <w:top w:val="nil"/>
              <w:left w:val="nil"/>
              <w:bottom w:val="nil"/>
              <w:right w:val="nil"/>
            </w:tcBorders>
            <w:shd w:val="clear" w:color="auto" w:fill="auto"/>
            <w:noWrap/>
            <w:vAlign w:val="center"/>
            <w:hideMark/>
          </w:tcPr>
          <w:p w14:paraId="2C405B6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1.783.527,35</w:t>
            </w:r>
          </w:p>
        </w:tc>
        <w:tc>
          <w:tcPr>
            <w:tcW w:w="1276" w:type="dxa"/>
            <w:tcBorders>
              <w:top w:val="nil"/>
              <w:left w:val="nil"/>
              <w:bottom w:val="nil"/>
              <w:right w:val="nil"/>
            </w:tcBorders>
            <w:shd w:val="clear" w:color="auto" w:fill="auto"/>
            <w:noWrap/>
            <w:vAlign w:val="center"/>
            <w:hideMark/>
          </w:tcPr>
          <w:p w14:paraId="3C004CC0"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0,00</w:t>
            </w:r>
          </w:p>
        </w:tc>
      </w:tr>
      <w:tr w:rsidR="00D10805" w:rsidRPr="00A17B6F" w14:paraId="02E10D70" w14:textId="77777777" w:rsidTr="00D10805">
        <w:trPr>
          <w:trHeight w:val="480"/>
        </w:trPr>
        <w:tc>
          <w:tcPr>
            <w:tcW w:w="709" w:type="dxa"/>
            <w:tcBorders>
              <w:top w:val="nil"/>
              <w:left w:val="nil"/>
              <w:bottom w:val="nil"/>
              <w:right w:val="nil"/>
            </w:tcBorders>
            <w:shd w:val="clear" w:color="auto" w:fill="auto"/>
            <w:vAlign w:val="center"/>
            <w:hideMark/>
          </w:tcPr>
          <w:p w14:paraId="2C3743EE"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63</w:t>
            </w:r>
          </w:p>
        </w:tc>
        <w:tc>
          <w:tcPr>
            <w:tcW w:w="2309" w:type="dxa"/>
            <w:tcBorders>
              <w:top w:val="nil"/>
              <w:left w:val="nil"/>
              <w:bottom w:val="nil"/>
              <w:right w:val="nil"/>
            </w:tcBorders>
            <w:shd w:val="clear" w:color="auto" w:fill="auto"/>
            <w:vAlign w:val="center"/>
            <w:hideMark/>
          </w:tcPr>
          <w:p w14:paraId="5F35CA84"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Pomoći iz inozemstva i od subjekata unutar općeg proračuna</w:t>
            </w:r>
          </w:p>
        </w:tc>
        <w:tc>
          <w:tcPr>
            <w:tcW w:w="1235" w:type="dxa"/>
            <w:tcBorders>
              <w:top w:val="nil"/>
              <w:left w:val="nil"/>
              <w:bottom w:val="nil"/>
              <w:right w:val="nil"/>
            </w:tcBorders>
            <w:shd w:val="clear" w:color="auto" w:fill="auto"/>
            <w:noWrap/>
            <w:vAlign w:val="center"/>
            <w:hideMark/>
          </w:tcPr>
          <w:p w14:paraId="2DA7079D"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42.728.556,65</w:t>
            </w:r>
          </w:p>
        </w:tc>
        <w:tc>
          <w:tcPr>
            <w:tcW w:w="1276" w:type="dxa"/>
            <w:tcBorders>
              <w:top w:val="nil"/>
              <w:left w:val="nil"/>
              <w:bottom w:val="nil"/>
              <w:right w:val="nil"/>
            </w:tcBorders>
            <w:shd w:val="clear" w:color="auto" w:fill="auto"/>
            <w:noWrap/>
            <w:vAlign w:val="center"/>
            <w:hideMark/>
          </w:tcPr>
          <w:p w14:paraId="7BDBEDD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115.942.212,35</w:t>
            </w:r>
          </w:p>
        </w:tc>
        <w:tc>
          <w:tcPr>
            <w:tcW w:w="1275" w:type="dxa"/>
            <w:tcBorders>
              <w:top w:val="nil"/>
              <w:left w:val="nil"/>
              <w:bottom w:val="nil"/>
              <w:right w:val="nil"/>
            </w:tcBorders>
            <w:shd w:val="clear" w:color="auto" w:fill="auto"/>
            <w:noWrap/>
            <w:vAlign w:val="center"/>
            <w:hideMark/>
          </w:tcPr>
          <w:p w14:paraId="3F3F7EAF"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57.389.659,97</w:t>
            </w:r>
          </w:p>
        </w:tc>
        <w:tc>
          <w:tcPr>
            <w:tcW w:w="960" w:type="dxa"/>
            <w:tcBorders>
              <w:top w:val="nil"/>
              <w:left w:val="nil"/>
              <w:bottom w:val="nil"/>
              <w:right w:val="nil"/>
            </w:tcBorders>
            <w:shd w:val="clear" w:color="auto" w:fill="auto"/>
            <w:noWrap/>
            <w:vAlign w:val="center"/>
            <w:hideMark/>
          </w:tcPr>
          <w:p w14:paraId="01EBE0E9"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134,31</w:t>
            </w:r>
          </w:p>
        </w:tc>
        <w:tc>
          <w:tcPr>
            <w:tcW w:w="883" w:type="dxa"/>
            <w:tcBorders>
              <w:top w:val="nil"/>
              <w:left w:val="nil"/>
              <w:bottom w:val="nil"/>
              <w:right w:val="nil"/>
            </w:tcBorders>
            <w:shd w:val="clear" w:color="auto" w:fill="auto"/>
            <w:noWrap/>
            <w:vAlign w:val="center"/>
            <w:hideMark/>
          </w:tcPr>
          <w:p w14:paraId="511FFC3F"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49,50</w:t>
            </w:r>
          </w:p>
        </w:tc>
        <w:tc>
          <w:tcPr>
            <w:tcW w:w="1276" w:type="dxa"/>
            <w:tcBorders>
              <w:top w:val="nil"/>
              <w:left w:val="nil"/>
              <w:bottom w:val="nil"/>
              <w:right w:val="nil"/>
            </w:tcBorders>
            <w:shd w:val="clear" w:color="auto" w:fill="auto"/>
            <w:noWrap/>
            <w:vAlign w:val="center"/>
            <w:hideMark/>
          </w:tcPr>
          <w:p w14:paraId="531CE02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4.887.657,55</w:t>
            </w:r>
          </w:p>
        </w:tc>
        <w:tc>
          <w:tcPr>
            <w:tcW w:w="1276" w:type="dxa"/>
            <w:tcBorders>
              <w:top w:val="nil"/>
              <w:left w:val="nil"/>
              <w:bottom w:val="nil"/>
              <w:right w:val="nil"/>
            </w:tcBorders>
            <w:shd w:val="clear" w:color="auto" w:fill="auto"/>
            <w:noWrap/>
            <w:vAlign w:val="center"/>
            <w:hideMark/>
          </w:tcPr>
          <w:p w14:paraId="15D0B5F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52.502.002,42</w:t>
            </w:r>
          </w:p>
        </w:tc>
      </w:tr>
      <w:tr w:rsidR="00D10805" w:rsidRPr="00A17B6F" w14:paraId="487A70D8" w14:textId="77777777" w:rsidTr="00D10805">
        <w:trPr>
          <w:trHeight w:val="720"/>
        </w:trPr>
        <w:tc>
          <w:tcPr>
            <w:tcW w:w="709" w:type="dxa"/>
            <w:tcBorders>
              <w:top w:val="nil"/>
              <w:left w:val="nil"/>
              <w:bottom w:val="nil"/>
              <w:right w:val="nil"/>
            </w:tcBorders>
            <w:shd w:val="clear" w:color="auto" w:fill="auto"/>
            <w:vAlign w:val="center"/>
            <w:hideMark/>
          </w:tcPr>
          <w:p w14:paraId="0ECD3338"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632</w:t>
            </w:r>
          </w:p>
        </w:tc>
        <w:tc>
          <w:tcPr>
            <w:tcW w:w="2309" w:type="dxa"/>
            <w:tcBorders>
              <w:top w:val="nil"/>
              <w:left w:val="nil"/>
              <w:bottom w:val="nil"/>
              <w:right w:val="nil"/>
            </w:tcBorders>
            <w:shd w:val="clear" w:color="auto" w:fill="auto"/>
            <w:vAlign w:val="center"/>
            <w:hideMark/>
          </w:tcPr>
          <w:p w14:paraId="7132A14B"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Pomoći od međunarodnih organizacija te institucija i tijela EU</w:t>
            </w:r>
          </w:p>
        </w:tc>
        <w:tc>
          <w:tcPr>
            <w:tcW w:w="1235" w:type="dxa"/>
            <w:tcBorders>
              <w:top w:val="nil"/>
              <w:left w:val="nil"/>
              <w:bottom w:val="nil"/>
              <w:right w:val="nil"/>
            </w:tcBorders>
            <w:shd w:val="clear" w:color="auto" w:fill="auto"/>
            <w:noWrap/>
            <w:vAlign w:val="center"/>
            <w:hideMark/>
          </w:tcPr>
          <w:p w14:paraId="3E62A2B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328.571,86</w:t>
            </w:r>
          </w:p>
        </w:tc>
        <w:tc>
          <w:tcPr>
            <w:tcW w:w="1276" w:type="dxa"/>
            <w:tcBorders>
              <w:top w:val="nil"/>
              <w:left w:val="nil"/>
              <w:bottom w:val="nil"/>
              <w:right w:val="nil"/>
            </w:tcBorders>
            <w:shd w:val="clear" w:color="auto" w:fill="auto"/>
            <w:noWrap/>
            <w:vAlign w:val="center"/>
            <w:hideMark/>
          </w:tcPr>
          <w:p w14:paraId="69086898"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764.636,73</w:t>
            </w:r>
          </w:p>
        </w:tc>
        <w:tc>
          <w:tcPr>
            <w:tcW w:w="1275" w:type="dxa"/>
            <w:tcBorders>
              <w:top w:val="nil"/>
              <w:left w:val="nil"/>
              <w:bottom w:val="nil"/>
              <w:right w:val="nil"/>
            </w:tcBorders>
            <w:shd w:val="clear" w:color="auto" w:fill="auto"/>
            <w:noWrap/>
            <w:vAlign w:val="center"/>
            <w:hideMark/>
          </w:tcPr>
          <w:p w14:paraId="02A1789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742.410,41</w:t>
            </w:r>
          </w:p>
        </w:tc>
        <w:tc>
          <w:tcPr>
            <w:tcW w:w="960" w:type="dxa"/>
            <w:tcBorders>
              <w:top w:val="nil"/>
              <w:left w:val="nil"/>
              <w:bottom w:val="nil"/>
              <w:right w:val="nil"/>
            </w:tcBorders>
            <w:shd w:val="clear" w:color="auto" w:fill="auto"/>
            <w:noWrap/>
            <w:vAlign w:val="center"/>
            <w:hideMark/>
          </w:tcPr>
          <w:p w14:paraId="079B3B5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225,95</w:t>
            </w:r>
          </w:p>
        </w:tc>
        <w:tc>
          <w:tcPr>
            <w:tcW w:w="883" w:type="dxa"/>
            <w:tcBorders>
              <w:top w:val="nil"/>
              <w:left w:val="nil"/>
              <w:bottom w:val="nil"/>
              <w:right w:val="nil"/>
            </w:tcBorders>
            <w:shd w:val="clear" w:color="auto" w:fill="auto"/>
            <w:noWrap/>
            <w:vAlign w:val="center"/>
            <w:hideMark/>
          </w:tcPr>
          <w:p w14:paraId="6940BC05"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97,09</w:t>
            </w:r>
          </w:p>
        </w:tc>
        <w:tc>
          <w:tcPr>
            <w:tcW w:w="1276" w:type="dxa"/>
            <w:tcBorders>
              <w:top w:val="nil"/>
              <w:left w:val="nil"/>
              <w:bottom w:val="nil"/>
              <w:right w:val="nil"/>
            </w:tcBorders>
            <w:shd w:val="clear" w:color="auto" w:fill="auto"/>
            <w:noWrap/>
            <w:vAlign w:val="center"/>
            <w:hideMark/>
          </w:tcPr>
          <w:p w14:paraId="7379F1D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682.185,51</w:t>
            </w:r>
          </w:p>
        </w:tc>
        <w:tc>
          <w:tcPr>
            <w:tcW w:w="1276" w:type="dxa"/>
            <w:tcBorders>
              <w:top w:val="nil"/>
              <w:left w:val="nil"/>
              <w:bottom w:val="nil"/>
              <w:right w:val="nil"/>
            </w:tcBorders>
            <w:shd w:val="clear" w:color="auto" w:fill="auto"/>
            <w:noWrap/>
            <w:vAlign w:val="center"/>
            <w:hideMark/>
          </w:tcPr>
          <w:p w14:paraId="28405E9D"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60.224,90</w:t>
            </w:r>
          </w:p>
        </w:tc>
      </w:tr>
      <w:tr w:rsidR="00D10805" w:rsidRPr="00A17B6F" w14:paraId="14F304E9" w14:textId="77777777" w:rsidTr="00D10805">
        <w:trPr>
          <w:trHeight w:val="480"/>
        </w:trPr>
        <w:tc>
          <w:tcPr>
            <w:tcW w:w="709" w:type="dxa"/>
            <w:tcBorders>
              <w:top w:val="nil"/>
              <w:left w:val="nil"/>
              <w:bottom w:val="nil"/>
              <w:right w:val="nil"/>
            </w:tcBorders>
            <w:shd w:val="clear" w:color="auto" w:fill="auto"/>
            <w:vAlign w:val="center"/>
            <w:hideMark/>
          </w:tcPr>
          <w:p w14:paraId="1C47F712"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633</w:t>
            </w:r>
          </w:p>
        </w:tc>
        <w:tc>
          <w:tcPr>
            <w:tcW w:w="2309" w:type="dxa"/>
            <w:tcBorders>
              <w:top w:val="nil"/>
              <w:left w:val="nil"/>
              <w:bottom w:val="nil"/>
              <w:right w:val="nil"/>
            </w:tcBorders>
            <w:shd w:val="clear" w:color="auto" w:fill="auto"/>
            <w:vAlign w:val="center"/>
            <w:hideMark/>
          </w:tcPr>
          <w:p w14:paraId="0FDE36E6"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Pomoći proračunu iz drugih proračuna</w:t>
            </w:r>
          </w:p>
        </w:tc>
        <w:tc>
          <w:tcPr>
            <w:tcW w:w="1235" w:type="dxa"/>
            <w:tcBorders>
              <w:top w:val="nil"/>
              <w:left w:val="nil"/>
              <w:bottom w:val="nil"/>
              <w:right w:val="nil"/>
            </w:tcBorders>
            <w:shd w:val="clear" w:color="auto" w:fill="auto"/>
            <w:noWrap/>
            <w:vAlign w:val="center"/>
            <w:hideMark/>
          </w:tcPr>
          <w:p w14:paraId="5AECC25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2.409.777,10</w:t>
            </w:r>
          </w:p>
        </w:tc>
        <w:tc>
          <w:tcPr>
            <w:tcW w:w="1276" w:type="dxa"/>
            <w:tcBorders>
              <w:top w:val="nil"/>
              <w:left w:val="nil"/>
              <w:bottom w:val="nil"/>
              <w:right w:val="nil"/>
            </w:tcBorders>
            <w:shd w:val="clear" w:color="auto" w:fill="auto"/>
            <w:noWrap/>
            <w:vAlign w:val="center"/>
            <w:hideMark/>
          </w:tcPr>
          <w:p w14:paraId="47E93517"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5.937.884,23</w:t>
            </w:r>
          </w:p>
        </w:tc>
        <w:tc>
          <w:tcPr>
            <w:tcW w:w="1275" w:type="dxa"/>
            <w:tcBorders>
              <w:top w:val="nil"/>
              <w:left w:val="nil"/>
              <w:bottom w:val="nil"/>
              <w:right w:val="nil"/>
            </w:tcBorders>
            <w:shd w:val="clear" w:color="auto" w:fill="auto"/>
            <w:noWrap/>
            <w:vAlign w:val="center"/>
            <w:hideMark/>
          </w:tcPr>
          <w:p w14:paraId="58A67BE3"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2.347.767,30</w:t>
            </w:r>
          </w:p>
        </w:tc>
        <w:tc>
          <w:tcPr>
            <w:tcW w:w="960" w:type="dxa"/>
            <w:tcBorders>
              <w:top w:val="nil"/>
              <w:left w:val="nil"/>
              <w:bottom w:val="nil"/>
              <w:right w:val="nil"/>
            </w:tcBorders>
            <w:shd w:val="clear" w:color="auto" w:fill="auto"/>
            <w:noWrap/>
            <w:vAlign w:val="center"/>
            <w:hideMark/>
          </w:tcPr>
          <w:p w14:paraId="05EB86B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97,43</w:t>
            </w:r>
          </w:p>
        </w:tc>
        <w:tc>
          <w:tcPr>
            <w:tcW w:w="883" w:type="dxa"/>
            <w:tcBorders>
              <w:top w:val="nil"/>
              <w:left w:val="nil"/>
              <w:bottom w:val="nil"/>
              <w:right w:val="nil"/>
            </w:tcBorders>
            <w:shd w:val="clear" w:color="auto" w:fill="auto"/>
            <w:noWrap/>
            <w:vAlign w:val="center"/>
            <w:hideMark/>
          </w:tcPr>
          <w:p w14:paraId="379BC664"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39,54</w:t>
            </w:r>
          </w:p>
        </w:tc>
        <w:tc>
          <w:tcPr>
            <w:tcW w:w="1276" w:type="dxa"/>
            <w:tcBorders>
              <w:top w:val="nil"/>
              <w:left w:val="nil"/>
              <w:bottom w:val="nil"/>
              <w:right w:val="nil"/>
            </w:tcBorders>
            <w:shd w:val="clear" w:color="auto" w:fill="auto"/>
            <w:noWrap/>
            <w:vAlign w:val="center"/>
            <w:hideMark/>
          </w:tcPr>
          <w:p w14:paraId="6E16AEB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2.347.767,30</w:t>
            </w:r>
          </w:p>
        </w:tc>
        <w:tc>
          <w:tcPr>
            <w:tcW w:w="1276" w:type="dxa"/>
            <w:tcBorders>
              <w:top w:val="nil"/>
              <w:left w:val="nil"/>
              <w:bottom w:val="nil"/>
              <w:right w:val="nil"/>
            </w:tcBorders>
            <w:shd w:val="clear" w:color="auto" w:fill="auto"/>
            <w:noWrap/>
            <w:vAlign w:val="center"/>
            <w:hideMark/>
          </w:tcPr>
          <w:p w14:paraId="773A5C4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0,00</w:t>
            </w:r>
          </w:p>
        </w:tc>
      </w:tr>
      <w:tr w:rsidR="00D10805" w:rsidRPr="00A17B6F" w14:paraId="6F184D60" w14:textId="77777777" w:rsidTr="00D10805">
        <w:trPr>
          <w:trHeight w:val="480"/>
        </w:trPr>
        <w:tc>
          <w:tcPr>
            <w:tcW w:w="709" w:type="dxa"/>
            <w:tcBorders>
              <w:top w:val="nil"/>
              <w:left w:val="nil"/>
              <w:bottom w:val="nil"/>
              <w:right w:val="nil"/>
            </w:tcBorders>
            <w:shd w:val="clear" w:color="auto" w:fill="auto"/>
            <w:vAlign w:val="center"/>
            <w:hideMark/>
          </w:tcPr>
          <w:p w14:paraId="4A100E86"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634</w:t>
            </w:r>
          </w:p>
        </w:tc>
        <w:tc>
          <w:tcPr>
            <w:tcW w:w="2309" w:type="dxa"/>
            <w:tcBorders>
              <w:top w:val="nil"/>
              <w:left w:val="nil"/>
              <w:bottom w:val="nil"/>
              <w:right w:val="nil"/>
            </w:tcBorders>
            <w:shd w:val="clear" w:color="auto" w:fill="auto"/>
            <w:vAlign w:val="center"/>
            <w:hideMark/>
          </w:tcPr>
          <w:p w14:paraId="650A0724"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 xml:space="preserve"> Pomoći od izvanproračunskih korisnika</w:t>
            </w:r>
          </w:p>
        </w:tc>
        <w:tc>
          <w:tcPr>
            <w:tcW w:w="1235" w:type="dxa"/>
            <w:tcBorders>
              <w:top w:val="nil"/>
              <w:left w:val="nil"/>
              <w:bottom w:val="nil"/>
              <w:right w:val="nil"/>
            </w:tcBorders>
            <w:shd w:val="clear" w:color="auto" w:fill="auto"/>
            <w:noWrap/>
            <w:vAlign w:val="center"/>
            <w:hideMark/>
          </w:tcPr>
          <w:p w14:paraId="4CC0CF76"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682.575,02</w:t>
            </w:r>
          </w:p>
        </w:tc>
        <w:tc>
          <w:tcPr>
            <w:tcW w:w="1276" w:type="dxa"/>
            <w:tcBorders>
              <w:top w:val="nil"/>
              <w:left w:val="nil"/>
              <w:bottom w:val="nil"/>
              <w:right w:val="nil"/>
            </w:tcBorders>
            <w:shd w:val="clear" w:color="auto" w:fill="auto"/>
            <w:noWrap/>
            <w:vAlign w:val="center"/>
            <w:hideMark/>
          </w:tcPr>
          <w:p w14:paraId="1BE3C47A"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1.347.968,75</w:t>
            </w:r>
          </w:p>
        </w:tc>
        <w:tc>
          <w:tcPr>
            <w:tcW w:w="1275" w:type="dxa"/>
            <w:tcBorders>
              <w:top w:val="nil"/>
              <w:left w:val="nil"/>
              <w:bottom w:val="nil"/>
              <w:right w:val="nil"/>
            </w:tcBorders>
            <w:shd w:val="clear" w:color="auto" w:fill="auto"/>
            <w:noWrap/>
            <w:vAlign w:val="center"/>
            <w:hideMark/>
          </w:tcPr>
          <w:p w14:paraId="0BF5314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782.468,21</w:t>
            </w:r>
          </w:p>
        </w:tc>
        <w:tc>
          <w:tcPr>
            <w:tcW w:w="960" w:type="dxa"/>
            <w:tcBorders>
              <w:top w:val="nil"/>
              <w:left w:val="nil"/>
              <w:bottom w:val="nil"/>
              <w:right w:val="nil"/>
            </w:tcBorders>
            <w:shd w:val="clear" w:color="auto" w:fill="auto"/>
            <w:noWrap/>
            <w:vAlign w:val="center"/>
            <w:hideMark/>
          </w:tcPr>
          <w:p w14:paraId="5870F43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114,63</w:t>
            </w:r>
          </w:p>
        </w:tc>
        <w:tc>
          <w:tcPr>
            <w:tcW w:w="883" w:type="dxa"/>
            <w:tcBorders>
              <w:top w:val="nil"/>
              <w:left w:val="nil"/>
              <w:bottom w:val="nil"/>
              <w:right w:val="nil"/>
            </w:tcBorders>
            <w:shd w:val="clear" w:color="auto" w:fill="auto"/>
            <w:noWrap/>
            <w:vAlign w:val="center"/>
            <w:hideMark/>
          </w:tcPr>
          <w:p w14:paraId="0054F5DD"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58,05</w:t>
            </w:r>
          </w:p>
        </w:tc>
        <w:tc>
          <w:tcPr>
            <w:tcW w:w="1276" w:type="dxa"/>
            <w:tcBorders>
              <w:top w:val="nil"/>
              <w:left w:val="nil"/>
              <w:bottom w:val="nil"/>
              <w:right w:val="nil"/>
            </w:tcBorders>
            <w:shd w:val="clear" w:color="auto" w:fill="auto"/>
            <w:noWrap/>
            <w:vAlign w:val="center"/>
            <w:hideMark/>
          </w:tcPr>
          <w:p w14:paraId="5668CEA4"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0,00</w:t>
            </w:r>
          </w:p>
        </w:tc>
        <w:tc>
          <w:tcPr>
            <w:tcW w:w="1276" w:type="dxa"/>
            <w:tcBorders>
              <w:top w:val="nil"/>
              <w:left w:val="nil"/>
              <w:bottom w:val="nil"/>
              <w:right w:val="nil"/>
            </w:tcBorders>
            <w:shd w:val="clear" w:color="auto" w:fill="auto"/>
            <w:noWrap/>
            <w:vAlign w:val="center"/>
            <w:hideMark/>
          </w:tcPr>
          <w:p w14:paraId="0DCC3BA1"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782.468,21</w:t>
            </w:r>
          </w:p>
        </w:tc>
      </w:tr>
      <w:tr w:rsidR="00D10805" w:rsidRPr="00A17B6F" w14:paraId="2A0D70CC" w14:textId="77777777" w:rsidTr="00D10805">
        <w:trPr>
          <w:trHeight w:val="480"/>
        </w:trPr>
        <w:tc>
          <w:tcPr>
            <w:tcW w:w="709" w:type="dxa"/>
            <w:tcBorders>
              <w:top w:val="nil"/>
              <w:left w:val="nil"/>
              <w:bottom w:val="nil"/>
              <w:right w:val="nil"/>
            </w:tcBorders>
            <w:shd w:val="clear" w:color="auto" w:fill="auto"/>
            <w:vAlign w:val="center"/>
            <w:hideMark/>
          </w:tcPr>
          <w:p w14:paraId="125D5D6E"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lastRenderedPageBreak/>
              <w:t>635</w:t>
            </w:r>
          </w:p>
        </w:tc>
        <w:tc>
          <w:tcPr>
            <w:tcW w:w="2309" w:type="dxa"/>
            <w:tcBorders>
              <w:top w:val="nil"/>
              <w:left w:val="nil"/>
              <w:bottom w:val="nil"/>
              <w:right w:val="nil"/>
            </w:tcBorders>
            <w:shd w:val="clear" w:color="auto" w:fill="auto"/>
            <w:vAlign w:val="center"/>
            <w:hideMark/>
          </w:tcPr>
          <w:p w14:paraId="22D5FAB0"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Pomoći izravnanja za decentralizirane funkcije</w:t>
            </w:r>
          </w:p>
        </w:tc>
        <w:tc>
          <w:tcPr>
            <w:tcW w:w="1235" w:type="dxa"/>
            <w:tcBorders>
              <w:top w:val="nil"/>
              <w:left w:val="nil"/>
              <w:bottom w:val="nil"/>
              <w:right w:val="nil"/>
            </w:tcBorders>
            <w:shd w:val="clear" w:color="auto" w:fill="auto"/>
            <w:noWrap/>
            <w:vAlign w:val="center"/>
            <w:hideMark/>
          </w:tcPr>
          <w:p w14:paraId="05FEEE7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2.199.863,31</w:t>
            </w:r>
          </w:p>
        </w:tc>
        <w:tc>
          <w:tcPr>
            <w:tcW w:w="1276" w:type="dxa"/>
            <w:tcBorders>
              <w:top w:val="nil"/>
              <w:left w:val="nil"/>
              <w:bottom w:val="nil"/>
              <w:right w:val="nil"/>
            </w:tcBorders>
            <w:shd w:val="clear" w:color="auto" w:fill="auto"/>
            <w:noWrap/>
            <w:vAlign w:val="center"/>
            <w:hideMark/>
          </w:tcPr>
          <w:p w14:paraId="200FB589"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3.271.830,00</w:t>
            </w:r>
          </w:p>
        </w:tc>
        <w:tc>
          <w:tcPr>
            <w:tcW w:w="1275" w:type="dxa"/>
            <w:tcBorders>
              <w:top w:val="nil"/>
              <w:left w:val="nil"/>
              <w:bottom w:val="nil"/>
              <w:right w:val="nil"/>
            </w:tcBorders>
            <w:shd w:val="clear" w:color="auto" w:fill="auto"/>
            <w:noWrap/>
            <w:vAlign w:val="center"/>
            <w:hideMark/>
          </w:tcPr>
          <w:p w14:paraId="15B3FBE0"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1.601.653,82</w:t>
            </w:r>
          </w:p>
        </w:tc>
        <w:tc>
          <w:tcPr>
            <w:tcW w:w="960" w:type="dxa"/>
            <w:tcBorders>
              <w:top w:val="nil"/>
              <w:left w:val="nil"/>
              <w:bottom w:val="nil"/>
              <w:right w:val="nil"/>
            </w:tcBorders>
            <w:shd w:val="clear" w:color="auto" w:fill="auto"/>
            <w:noWrap/>
            <w:vAlign w:val="center"/>
            <w:hideMark/>
          </w:tcPr>
          <w:p w14:paraId="34D26F35"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72,81</w:t>
            </w:r>
          </w:p>
        </w:tc>
        <w:tc>
          <w:tcPr>
            <w:tcW w:w="883" w:type="dxa"/>
            <w:tcBorders>
              <w:top w:val="nil"/>
              <w:left w:val="nil"/>
              <w:bottom w:val="nil"/>
              <w:right w:val="nil"/>
            </w:tcBorders>
            <w:shd w:val="clear" w:color="auto" w:fill="auto"/>
            <w:noWrap/>
            <w:vAlign w:val="center"/>
            <w:hideMark/>
          </w:tcPr>
          <w:p w14:paraId="08010BE4"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48,95</w:t>
            </w:r>
          </w:p>
        </w:tc>
        <w:tc>
          <w:tcPr>
            <w:tcW w:w="1276" w:type="dxa"/>
            <w:tcBorders>
              <w:top w:val="nil"/>
              <w:left w:val="nil"/>
              <w:bottom w:val="nil"/>
              <w:right w:val="nil"/>
            </w:tcBorders>
            <w:shd w:val="clear" w:color="auto" w:fill="auto"/>
            <w:noWrap/>
            <w:vAlign w:val="center"/>
            <w:hideMark/>
          </w:tcPr>
          <w:p w14:paraId="2B31CFD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1.601.653,82</w:t>
            </w:r>
          </w:p>
        </w:tc>
        <w:tc>
          <w:tcPr>
            <w:tcW w:w="1276" w:type="dxa"/>
            <w:tcBorders>
              <w:top w:val="nil"/>
              <w:left w:val="nil"/>
              <w:bottom w:val="nil"/>
              <w:right w:val="nil"/>
            </w:tcBorders>
            <w:shd w:val="clear" w:color="auto" w:fill="auto"/>
            <w:noWrap/>
            <w:vAlign w:val="center"/>
            <w:hideMark/>
          </w:tcPr>
          <w:p w14:paraId="30FE624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0,00</w:t>
            </w:r>
          </w:p>
        </w:tc>
      </w:tr>
      <w:tr w:rsidR="00D10805" w:rsidRPr="00A17B6F" w14:paraId="1BBBAEA4" w14:textId="77777777" w:rsidTr="00D10805">
        <w:trPr>
          <w:trHeight w:val="480"/>
        </w:trPr>
        <w:tc>
          <w:tcPr>
            <w:tcW w:w="709" w:type="dxa"/>
            <w:tcBorders>
              <w:top w:val="nil"/>
              <w:left w:val="nil"/>
              <w:bottom w:val="nil"/>
              <w:right w:val="nil"/>
            </w:tcBorders>
            <w:shd w:val="clear" w:color="auto" w:fill="auto"/>
            <w:vAlign w:val="center"/>
            <w:hideMark/>
          </w:tcPr>
          <w:p w14:paraId="60AD19A0"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636</w:t>
            </w:r>
          </w:p>
        </w:tc>
        <w:tc>
          <w:tcPr>
            <w:tcW w:w="2309" w:type="dxa"/>
            <w:tcBorders>
              <w:top w:val="nil"/>
              <w:left w:val="nil"/>
              <w:bottom w:val="nil"/>
              <w:right w:val="nil"/>
            </w:tcBorders>
            <w:shd w:val="clear" w:color="auto" w:fill="auto"/>
            <w:vAlign w:val="center"/>
            <w:hideMark/>
          </w:tcPr>
          <w:p w14:paraId="6BBCEEF5"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Pomoći proračunskim korisnicima iz proračuna koji im nije nadležan</w:t>
            </w:r>
          </w:p>
        </w:tc>
        <w:tc>
          <w:tcPr>
            <w:tcW w:w="1235" w:type="dxa"/>
            <w:tcBorders>
              <w:top w:val="nil"/>
              <w:left w:val="nil"/>
              <w:bottom w:val="nil"/>
              <w:right w:val="nil"/>
            </w:tcBorders>
            <w:shd w:val="clear" w:color="auto" w:fill="auto"/>
            <w:noWrap/>
            <w:vAlign w:val="center"/>
            <w:hideMark/>
          </w:tcPr>
          <w:p w14:paraId="4A28130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35.304.691,78</w:t>
            </w:r>
          </w:p>
        </w:tc>
        <w:tc>
          <w:tcPr>
            <w:tcW w:w="1276" w:type="dxa"/>
            <w:tcBorders>
              <w:top w:val="nil"/>
              <w:left w:val="nil"/>
              <w:bottom w:val="nil"/>
              <w:right w:val="nil"/>
            </w:tcBorders>
            <w:shd w:val="clear" w:color="auto" w:fill="auto"/>
            <w:noWrap/>
            <w:vAlign w:val="center"/>
            <w:hideMark/>
          </w:tcPr>
          <w:p w14:paraId="7E6FE935"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93.482.742,10</w:t>
            </w:r>
          </w:p>
        </w:tc>
        <w:tc>
          <w:tcPr>
            <w:tcW w:w="1275" w:type="dxa"/>
            <w:tcBorders>
              <w:top w:val="nil"/>
              <w:left w:val="nil"/>
              <w:bottom w:val="nil"/>
              <w:right w:val="nil"/>
            </w:tcBorders>
            <w:shd w:val="clear" w:color="auto" w:fill="auto"/>
            <w:noWrap/>
            <w:vAlign w:val="center"/>
            <w:hideMark/>
          </w:tcPr>
          <w:p w14:paraId="26529064"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44.997.133,34</w:t>
            </w:r>
          </w:p>
        </w:tc>
        <w:tc>
          <w:tcPr>
            <w:tcW w:w="960" w:type="dxa"/>
            <w:tcBorders>
              <w:top w:val="nil"/>
              <w:left w:val="nil"/>
              <w:bottom w:val="nil"/>
              <w:right w:val="nil"/>
            </w:tcBorders>
            <w:shd w:val="clear" w:color="auto" w:fill="auto"/>
            <w:noWrap/>
            <w:vAlign w:val="center"/>
            <w:hideMark/>
          </w:tcPr>
          <w:p w14:paraId="487A02CD"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127,45</w:t>
            </w:r>
          </w:p>
        </w:tc>
        <w:tc>
          <w:tcPr>
            <w:tcW w:w="883" w:type="dxa"/>
            <w:tcBorders>
              <w:top w:val="nil"/>
              <w:left w:val="nil"/>
              <w:bottom w:val="nil"/>
              <w:right w:val="nil"/>
            </w:tcBorders>
            <w:shd w:val="clear" w:color="auto" w:fill="auto"/>
            <w:noWrap/>
            <w:vAlign w:val="center"/>
            <w:hideMark/>
          </w:tcPr>
          <w:p w14:paraId="0BCA4E57"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48,13</w:t>
            </w:r>
          </w:p>
        </w:tc>
        <w:tc>
          <w:tcPr>
            <w:tcW w:w="1276" w:type="dxa"/>
            <w:tcBorders>
              <w:top w:val="nil"/>
              <w:left w:val="nil"/>
              <w:bottom w:val="nil"/>
              <w:right w:val="nil"/>
            </w:tcBorders>
            <w:shd w:val="clear" w:color="auto" w:fill="auto"/>
            <w:noWrap/>
            <w:vAlign w:val="center"/>
            <w:hideMark/>
          </w:tcPr>
          <w:p w14:paraId="6B2C073D"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0,00</w:t>
            </w:r>
          </w:p>
        </w:tc>
        <w:tc>
          <w:tcPr>
            <w:tcW w:w="1276" w:type="dxa"/>
            <w:tcBorders>
              <w:top w:val="nil"/>
              <w:left w:val="nil"/>
              <w:bottom w:val="nil"/>
              <w:right w:val="nil"/>
            </w:tcBorders>
            <w:shd w:val="clear" w:color="auto" w:fill="auto"/>
            <w:noWrap/>
            <w:vAlign w:val="center"/>
            <w:hideMark/>
          </w:tcPr>
          <w:p w14:paraId="131EB2BD"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44.997.133,34</w:t>
            </w:r>
          </w:p>
        </w:tc>
      </w:tr>
      <w:tr w:rsidR="00D10805" w:rsidRPr="00A17B6F" w14:paraId="6E94CE11" w14:textId="77777777" w:rsidTr="00D10805">
        <w:trPr>
          <w:trHeight w:val="480"/>
        </w:trPr>
        <w:tc>
          <w:tcPr>
            <w:tcW w:w="709" w:type="dxa"/>
            <w:tcBorders>
              <w:top w:val="nil"/>
              <w:left w:val="nil"/>
              <w:bottom w:val="nil"/>
              <w:right w:val="nil"/>
            </w:tcBorders>
            <w:shd w:val="clear" w:color="auto" w:fill="auto"/>
            <w:vAlign w:val="center"/>
            <w:hideMark/>
          </w:tcPr>
          <w:p w14:paraId="0A2782FA"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638</w:t>
            </w:r>
          </w:p>
        </w:tc>
        <w:tc>
          <w:tcPr>
            <w:tcW w:w="2309" w:type="dxa"/>
            <w:tcBorders>
              <w:top w:val="nil"/>
              <w:left w:val="nil"/>
              <w:bottom w:val="nil"/>
              <w:right w:val="nil"/>
            </w:tcBorders>
            <w:shd w:val="clear" w:color="auto" w:fill="auto"/>
            <w:vAlign w:val="center"/>
            <w:hideMark/>
          </w:tcPr>
          <w:p w14:paraId="28D8698B"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Pomoći temeljem prijenosa EU sredstava</w:t>
            </w:r>
          </w:p>
        </w:tc>
        <w:tc>
          <w:tcPr>
            <w:tcW w:w="1235" w:type="dxa"/>
            <w:tcBorders>
              <w:top w:val="nil"/>
              <w:left w:val="nil"/>
              <w:bottom w:val="nil"/>
              <w:right w:val="nil"/>
            </w:tcBorders>
            <w:shd w:val="clear" w:color="auto" w:fill="auto"/>
            <w:noWrap/>
            <w:vAlign w:val="center"/>
            <w:hideMark/>
          </w:tcPr>
          <w:p w14:paraId="1155C03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1.631.947,46</w:t>
            </w:r>
          </w:p>
        </w:tc>
        <w:tc>
          <w:tcPr>
            <w:tcW w:w="1276" w:type="dxa"/>
            <w:tcBorders>
              <w:top w:val="nil"/>
              <w:left w:val="nil"/>
              <w:bottom w:val="nil"/>
              <w:right w:val="nil"/>
            </w:tcBorders>
            <w:shd w:val="clear" w:color="auto" w:fill="auto"/>
            <w:noWrap/>
            <w:vAlign w:val="center"/>
            <w:hideMark/>
          </w:tcPr>
          <w:p w14:paraId="21BC5CE5"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10.967.486,55</w:t>
            </w:r>
          </w:p>
        </w:tc>
        <w:tc>
          <w:tcPr>
            <w:tcW w:w="1275" w:type="dxa"/>
            <w:tcBorders>
              <w:top w:val="nil"/>
              <w:left w:val="nil"/>
              <w:bottom w:val="nil"/>
              <w:right w:val="nil"/>
            </w:tcBorders>
            <w:shd w:val="clear" w:color="auto" w:fill="auto"/>
            <w:noWrap/>
            <w:vAlign w:val="center"/>
            <w:hideMark/>
          </w:tcPr>
          <w:p w14:paraId="52447F4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6.758.562,90</w:t>
            </w:r>
          </w:p>
        </w:tc>
        <w:tc>
          <w:tcPr>
            <w:tcW w:w="960" w:type="dxa"/>
            <w:tcBorders>
              <w:top w:val="nil"/>
              <w:left w:val="nil"/>
              <w:bottom w:val="nil"/>
              <w:right w:val="nil"/>
            </w:tcBorders>
            <w:shd w:val="clear" w:color="auto" w:fill="auto"/>
            <w:noWrap/>
            <w:vAlign w:val="center"/>
            <w:hideMark/>
          </w:tcPr>
          <w:p w14:paraId="28D3A893"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414,14</w:t>
            </w:r>
          </w:p>
        </w:tc>
        <w:tc>
          <w:tcPr>
            <w:tcW w:w="883" w:type="dxa"/>
            <w:tcBorders>
              <w:top w:val="nil"/>
              <w:left w:val="nil"/>
              <w:bottom w:val="nil"/>
              <w:right w:val="nil"/>
            </w:tcBorders>
            <w:shd w:val="clear" w:color="auto" w:fill="auto"/>
            <w:noWrap/>
            <w:vAlign w:val="center"/>
            <w:hideMark/>
          </w:tcPr>
          <w:p w14:paraId="5AF6EAD0"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61,62</w:t>
            </w:r>
          </w:p>
        </w:tc>
        <w:tc>
          <w:tcPr>
            <w:tcW w:w="1276" w:type="dxa"/>
            <w:tcBorders>
              <w:top w:val="nil"/>
              <w:left w:val="nil"/>
              <w:bottom w:val="nil"/>
              <w:right w:val="nil"/>
            </w:tcBorders>
            <w:shd w:val="clear" w:color="auto" w:fill="auto"/>
            <w:noWrap/>
            <w:vAlign w:val="center"/>
            <w:hideMark/>
          </w:tcPr>
          <w:p w14:paraId="4D9B1E7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133.712,04</w:t>
            </w:r>
          </w:p>
        </w:tc>
        <w:tc>
          <w:tcPr>
            <w:tcW w:w="1276" w:type="dxa"/>
            <w:tcBorders>
              <w:top w:val="nil"/>
              <w:left w:val="nil"/>
              <w:bottom w:val="nil"/>
              <w:right w:val="nil"/>
            </w:tcBorders>
            <w:shd w:val="clear" w:color="auto" w:fill="auto"/>
            <w:noWrap/>
            <w:vAlign w:val="center"/>
            <w:hideMark/>
          </w:tcPr>
          <w:p w14:paraId="52ED244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6.624.850,86</w:t>
            </w:r>
          </w:p>
        </w:tc>
      </w:tr>
      <w:tr w:rsidR="00D10805" w:rsidRPr="00A17B6F" w14:paraId="4DE75A40" w14:textId="77777777" w:rsidTr="00D10805">
        <w:trPr>
          <w:trHeight w:val="480"/>
        </w:trPr>
        <w:tc>
          <w:tcPr>
            <w:tcW w:w="709" w:type="dxa"/>
            <w:tcBorders>
              <w:top w:val="nil"/>
              <w:left w:val="nil"/>
              <w:bottom w:val="nil"/>
              <w:right w:val="nil"/>
            </w:tcBorders>
            <w:shd w:val="clear" w:color="auto" w:fill="auto"/>
            <w:vAlign w:val="center"/>
            <w:hideMark/>
          </w:tcPr>
          <w:p w14:paraId="5DB25710"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639</w:t>
            </w:r>
          </w:p>
        </w:tc>
        <w:tc>
          <w:tcPr>
            <w:tcW w:w="2309" w:type="dxa"/>
            <w:tcBorders>
              <w:top w:val="nil"/>
              <w:left w:val="nil"/>
              <w:bottom w:val="nil"/>
              <w:right w:val="nil"/>
            </w:tcBorders>
            <w:shd w:val="clear" w:color="auto" w:fill="auto"/>
            <w:vAlign w:val="center"/>
            <w:hideMark/>
          </w:tcPr>
          <w:p w14:paraId="1DC2E871"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Prijenosi između proračunskih korisnika istog proračuna</w:t>
            </w:r>
          </w:p>
        </w:tc>
        <w:tc>
          <w:tcPr>
            <w:tcW w:w="1235" w:type="dxa"/>
            <w:tcBorders>
              <w:top w:val="nil"/>
              <w:left w:val="nil"/>
              <w:bottom w:val="nil"/>
              <w:right w:val="nil"/>
            </w:tcBorders>
            <w:shd w:val="clear" w:color="auto" w:fill="auto"/>
            <w:noWrap/>
            <w:vAlign w:val="center"/>
            <w:hideMark/>
          </w:tcPr>
          <w:p w14:paraId="595BF28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171.130,12</w:t>
            </w:r>
          </w:p>
        </w:tc>
        <w:tc>
          <w:tcPr>
            <w:tcW w:w="1276" w:type="dxa"/>
            <w:tcBorders>
              <w:top w:val="nil"/>
              <w:left w:val="nil"/>
              <w:bottom w:val="nil"/>
              <w:right w:val="nil"/>
            </w:tcBorders>
            <w:shd w:val="clear" w:color="auto" w:fill="auto"/>
            <w:noWrap/>
            <w:vAlign w:val="center"/>
            <w:hideMark/>
          </w:tcPr>
          <w:p w14:paraId="3774A0E1"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169.663,99</w:t>
            </w:r>
          </w:p>
        </w:tc>
        <w:tc>
          <w:tcPr>
            <w:tcW w:w="1275" w:type="dxa"/>
            <w:tcBorders>
              <w:top w:val="nil"/>
              <w:left w:val="nil"/>
              <w:bottom w:val="nil"/>
              <w:right w:val="nil"/>
            </w:tcBorders>
            <w:shd w:val="clear" w:color="auto" w:fill="auto"/>
            <w:noWrap/>
            <w:vAlign w:val="center"/>
            <w:hideMark/>
          </w:tcPr>
          <w:p w14:paraId="104C9E2D"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159.663,99</w:t>
            </w:r>
          </w:p>
        </w:tc>
        <w:tc>
          <w:tcPr>
            <w:tcW w:w="960" w:type="dxa"/>
            <w:tcBorders>
              <w:top w:val="nil"/>
              <w:left w:val="nil"/>
              <w:bottom w:val="nil"/>
              <w:right w:val="nil"/>
            </w:tcBorders>
            <w:shd w:val="clear" w:color="auto" w:fill="auto"/>
            <w:noWrap/>
            <w:vAlign w:val="center"/>
            <w:hideMark/>
          </w:tcPr>
          <w:p w14:paraId="665CCDE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93,30</w:t>
            </w:r>
          </w:p>
        </w:tc>
        <w:tc>
          <w:tcPr>
            <w:tcW w:w="883" w:type="dxa"/>
            <w:tcBorders>
              <w:top w:val="nil"/>
              <w:left w:val="nil"/>
              <w:bottom w:val="nil"/>
              <w:right w:val="nil"/>
            </w:tcBorders>
            <w:shd w:val="clear" w:color="auto" w:fill="auto"/>
            <w:noWrap/>
            <w:vAlign w:val="center"/>
            <w:hideMark/>
          </w:tcPr>
          <w:p w14:paraId="11551C66" w14:textId="77777777" w:rsidR="00D10805" w:rsidRPr="00A17B6F" w:rsidRDefault="00D10805" w:rsidP="00D10805">
            <w:pPr>
              <w:spacing w:after="0" w:line="240" w:lineRule="auto"/>
              <w:jc w:val="right"/>
              <w:rPr>
                <w:rFonts w:ascii="Calibri" w:eastAsia="Times New Roman" w:hAnsi="Calibri" w:cs="Calibri"/>
                <w:color w:val="FFFFFF"/>
                <w:sz w:val="16"/>
                <w:szCs w:val="16"/>
                <w:lang w:eastAsia="hr-HR"/>
              </w:rPr>
            </w:pPr>
            <w:r w:rsidRPr="00A17B6F">
              <w:rPr>
                <w:rFonts w:ascii="Calibri" w:eastAsia="Times New Roman" w:hAnsi="Calibri" w:cs="Calibri"/>
                <w:color w:val="FFFFFF"/>
                <w:sz w:val="16"/>
                <w:szCs w:val="16"/>
                <w:lang w:eastAsia="hr-HR"/>
              </w:rPr>
              <w:t>94,11</w:t>
            </w:r>
          </w:p>
        </w:tc>
        <w:tc>
          <w:tcPr>
            <w:tcW w:w="1276" w:type="dxa"/>
            <w:tcBorders>
              <w:top w:val="nil"/>
              <w:left w:val="nil"/>
              <w:bottom w:val="nil"/>
              <w:right w:val="nil"/>
            </w:tcBorders>
            <w:shd w:val="clear" w:color="auto" w:fill="auto"/>
            <w:noWrap/>
            <w:vAlign w:val="center"/>
            <w:hideMark/>
          </w:tcPr>
          <w:p w14:paraId="092F2EF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122.338,88</w:t>
            </w:r>
          </w:p>
        </w:tc>
        <w:tc>
          <w:tcPr>
            <w:tcW w:w="1276" w:type="dxa"/>
            <w:tcBorders>
              <w:top w:val="nil"/>
              <w:left w:val="nil"/>
              <w:bottom w:val="nil"/>
              <w:right w:val="nil"/>
            </w:tcBorders>
            <w:shd w:val="clear" w:color="auto" w:fill="auto"/>
            <w:noWrap/>
            <w:vAlign w:val="center"/>
            <w:hideMark/>
          </w:tcPr>
          <w:p w14:paraId="7229EFF4"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37.325,11</w:t>
            </w:r>
          </w:p>
        </w:tc>
      </w:tr>
      <w:tr w:rsidR="00D10805" w:rsidRPr="00A17B6F" w14:paraId="35593287" w14:textId="77777777" w:rsidTr="00D10805">
        <w:trPr>
          <w:trHeight w:val="300"/>
        </w:trPr>
        <w:tc>
          <w:tcPr>
            <w:tcW w:w="709" w:type="dxa"/>
            <w:tcBorders>
              <w:top w:val="nil"/>
              <w:left w:val="nil"/>
              <w:bottom w:val="nil"/>
              <w:right w:val="nil"/>
            </w:tcBorders>
            <w:shd w:val="clear" w:color="auto" w:fill="auto"/>
            <w:vAlign w:val="center"/>
            <w:hideMark/>
          </w:tcPr>
          <w:p w14:paraId="3F7E37C5"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64</w:t>
            </w:r>
          </w:p>
        </w:tc>
        <w:tc>
          <w:tcPr>
            <w:tcW w:w="2309" w:type="dxa"/>
            <w:tcBorders>
              <w:top w:val="nil"/>
              <w:left w:val="nil"/>
              <w:bottom w:val="nil"/>
              <w:right w:val="nil"/>
            </w:tcBorders>
            <w:shd w:val="clear" w:color="auto" w:fill="auto"/>
            <w:vAlign w:val="center"/>
            <w:hideMark/>
          </w:tcPr>
          <w:p w14:paraId="682E5755"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Prihodi od imovine</w:t>
            </w:r>
          </w:p>
        </w:tc>
        <w:tc>
          <w:tcPr>
            <w:tcW w:w="1235" w:type="dxa"/>
            <w:tcBorders>
              <w:top w:val="nil"/>
              <w:left w:val="nil"/>
              <w:bottom w:val="nil"/>
              <w:right w:val="nil"/>
            </w:tcBorders>
            <w:shd w:val="clear" w:color="auto" w:fill="auto"/>
            <w:noWrap/>
            <w:vAlign w:val="center"/>
            <w:hideMark/>
          </w:tcPr>
          <w:p w14:paraId="54D93EC1"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1.186.170,82</w:t>
            </w:r>
          </w:p>
        </w:tc>
        <w:tc>
          <w:tcPr>
            <w:tcW w:w="1276" w:type="dxa"/>
            <w:tcBorders>
              <w:top w:val="nil"/>
              <w:left w:val="nil"/>
              <w:bottom w:val="nil"/>
              <w:right w:val="nil"/>
            </w:tcBorders>
            <w:shd w:val="clear" w:color="auto" w:fill="auto"/>
            <w:noWrap/>
            <w:vAlign w:val="center"/>
            <w:hideMark/>
          </w:tcPr>
          <w:p w14:paraId="2D495B0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3.243.140,01</w:t>
            </w:r>
          </w:p>
        </w:tc>
        <w:tc>
          <w:tcPr>
            <w:tcW w:w="1275" w:type="dxa"/>
            <w:tcBorders>
              <w:top w:val="nil"/>
              <w:left w:val="nil"/>
              <w:bottom w:val="nil"/>
              <w:right w:val="nil"/>
            </w:tcBorders>
            <w:shd w:val="clear" w:color="auto" w:fill="auto"/>
            <w:noWrap/>
            <w:vAlign w:val="center"/>
            <w:hideMark/>
          </w:tcPr>
          <w:p w14:paraId="72356751"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2.678.655,06</w:t>
            </w:r>
          </w:p>
        </w:tc>
        <w:tc>
          <w:tcPr>
            <w:tcW w:w="960" w:type="dxa"/>
            <w:tcBorders>
              <w:top w:val="nil"/>
              <w:left w:val="nil"/>
              <w:bottom w:val="nil"/>
              <w:right w:val="nil"/>
            </w:tcBorders>
            <w:shd w:val="clear" w:color="auto" w:fill="auto"/>
            <w:noWrap/>
            <w:vAlign w:val="center"/>
            <w:hideMark/>
          </w:tcPr>
          <w:p w14:paraId="05C9777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225,82</w:t>
            </w:r>
          </w:p>
        </w:tc>
        <w:tc>
          <w:tcPr>
            <w:tcW w:w="883" w:type="dxa"/>
            <w:tcBorders>
              <w:top w:val="nil"/>
              <w:left w:val="nil"/>
              <w:bottom w:val="nil"/>
              <w:right w:val="nil"/>
            </w:tcBorders>
            <w:shd w:val="clear" w:color="auto" w:fill="auto"/>
            <w:noWrap/>
            <w:vAlign w:val="center"/>
            <w:hideMark/>
          </w:tcPr>
          <w:p w14:paraId="1CF95046"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82,59</w:t>
            </w:r>
          </w:p>
        </w:tc>
        <w:tc>
          <w:tcPr>
            <w:tcW w:w="1276" w:type="dxa"/>
            <w:tcBorders>
              <w:top w:val="nil"/>
              <w:left w:val="nil"/>
              <w:bottom w:val="nil"/>
              <w:right w:val="nil"/>
            </w:tcBorders>
            <w:shd w:val="clear" w:color="auto" w:fill="auto"/>
            <w:noWrap/>
            <w:vAlign w:val="center"/>
            <w:hideMark/>
          </w:tcPr>
          <w:p w14:paraId="238955D0"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2.650.451,74</w:t>
            </w:r>
          </w:p>
        </w:tc>
        <w:tc>
          <w:tcPr>
            <w:tcW w:w="1276" w:type="dxa"/>
            <w:tcBorders>
              <w:top w:val="nil"/>
              <w:left w:val="nil"/>
              <w:bottom w:val="nil"/>
              <w:right w:val="nil"/>
            </w:tcBorders>
            <w:shd w:val="clear" w:color="auto" w:fill="auto"/>
            <w:noWrap/>
            <w:vAlign w:val="center"/>
            <w:hideMark/>
          </w:tcPr>
          <w:p w14:paraId="66ADD1DE"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28.203,32</w:t>
            </w:r>
          </w:p>
        </w:tc>
      </w:tr>
      <w:tr w:rsidR="00D10805" w:rsidRPr="00A17B6F" w14:paraId="38C8CC4E" w14:textId="77777777" w:rsidTr="00D10805">
        <w:trPr>
          <w:trHeight w:val="300"/>
        </w:trPr>
        <w:tc>
          <w:tcPr>
            <w:tcW w:w="709" w:type="dxa"/>
            <w:tcBorders>
              <w:top w:val="nil"/>
              <w:left w:val="nil"/>
              <w:bottom w:val="nil"/>
              <w:right w:val="nil"/>
            </w:tcBorders>
            <w:shd w:val="clear" w:color="auto" w:fill="auto"/>
            <w:vAlign w:val="center"/>
            <w:hideMark/>
          </w:tcPr>
          <w:p w14:paraId="39F428B4"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65</w:t>
            </w:r>
          </w:p>
        </w:tc>
        <w:tc>
          <w:tcPr>
            <w:tcW w:w="2309" w:type="dxa"/>
            <w:tcBorders>
              <w:top w:val="nil"/>
              <w:left w:val="nil"/>
              <w:bottom w:val="nil"/>
              <w:right w:val="nil"/>
            </w:tcBorders>
            <w:shd w:val="clear" w:color="auto" w:fill="auto"/>
            <w:vAlign w:val="center"/>
            <w:hideMark/>
          </w:tcPr>
          <w:p w14:paraId="66CA5C0D"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Prihodi od pristojbi i naknada</w:t>
            </w:r>
          </w:p>
        </w:tc>
        <w:tc>
          <w:tcPr>
            <w:tcW w:w="1235" w:type="dxa"/>
            <w:tcBorders>
              <w:top w:val="nil"/>
              <w:left w:val="nil"/>
              <w:bottom w:val="nil"/>
              <w:right w:val="nil"/>
            </w:tcBorders>
            <w:shd w:val="clear" w:color="auto" w:fill="auto"/>
            <w:noWrap/>
            <w:vAlign w:val="center"/>
            <w:hideMark/>
          </w:tcPr>
          <w:p w14:paraId="7C3A56AE"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6.645.420,14</w:t>
            </w:r>
          </w:p>
        </w:tc>
        <w:tc>
          <w:tcPr>
            <w:tcW w:w="1276" w:type="dxa"/>
            <w:tcBorders>
              <w:top w:val="nil"/>
              <w:left w:val="nil"/>
              <w:bottom w:val="nil"/>
              <w:right w:val="nil"/>
            </w:tcBorders>
            <w:shd w:val="clear" w:color="auto" w:fill="auto"/>
            <w:noWrap/>
            <w:vAlign w:val="center"/>
            <w:hideMark/>
          </w:tcPr>
          <w:p w14:paraId="651C49FE"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14.684.031,03</w:t>
            </w:r>
          </w:p>
        </w:tc>
        <w:tc>
          <w:tcPr>
            <w:tcW w:w="1275" w:type="dxa"/>
            <w:tcBorders>
              <w:top w:val="nil"/>
              <w:left w:val="nil"/>
              <w:bottom w:val="nil"/>
              <w:right w:val="nil"/>
            </w:tcBorders>
            <w:shd w:val="clear" w:color="auto" w:fill="auto"/>
            <w:noWrap/>
            <w:vAlign w:val="center"/>
            <w:hideMark/>
          </w:tcPr>
          <w:p w14:paraId="094F8DFD"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7.645.508,73</w:t>
            </w:r>
          </w:p>
        </w:tc>
        <w:tc>
          <w:tcPr>
            <w:tcW w:w="960" w:type="dxa"/>
            <w:tcBorders>
              <w:top w:val="nil"/>
              <w:left w:val="nil"/>
              <w:bottom w:val="nil"/>
              <w:right w:val="nil"/>
            </w:tcBorders>
            <w:shd w:val="clear" w:color="auto" w:fill="auto"/>
            <w:noWrap/>
            <w:vAlign w:val="center"/>
            <w:hideMark/>
          </w:tcPr>
          <w:p w14:paraId="4C06C7ED"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115,05</w:t>
            </w:r>
          </w:p>
        </w:tc>
        <w:tc>
          <w:tcPr>
            <w:tcW w:w="883" w:type="dxa"/>
            <w:tcBorders>
              <w:top w:val="nil"/>
              <w:left w:val="nil"/>
              <w:bottom w:val="nil"/>
              <w:right w:val="nil"/>
            </w:tcBorders>
            <w:shd w:val="clear" w:color="auto" w:fill="auto"/>
            <w:noWrap/>
            <w:vAlign w:val="center"/>
            <w:hideMark/>
          </w:tcPr>
          <w:p w14:paraId="3B309E99"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52,07</w:t>
            </w:r>
          </w:p>
        </w:tc>
        <w:tc>
          <w:tcPr>
            <w:tcW w:w="1276" w:type="dxa"/>
            <w:tcBorders>
              <w:top w:val="nil"/>
              <w:left w:val="nil"/>
              <w:bottom w:val="nil"/>
              <w:right w:val="nil"/>
            </w:tcBorders>
            <w:shd w:val="clear" w:color="auto" w:fill="auto"/>
            <w:noWrap/>
            <w:vAlign w:val="center"/>
            <w:hideMark/>
          </w:tcPr>
          <w:p w14:paraId="534122B5"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380.571,19</w:t>
            </w:r>
          </w:p>
        </w:tc>
        <w:tc>
          <w:tcPr>
            <w:tcW w:w="1276" w:type="dxa"/>
            <w:tcBorders>
              <w:top w:val="nil"/>
              <w:left w:val="nil"/>
              <w:bottom w:val="nil"/>
              <w:right w:val="nil"/>
            </w:tcBorders>
            <w:shd w:val="clear" w:color="auto" w:fill="auto"/>
            <w:noWrap/>
            <w:vAlign w:val="center"/>
            <w:hideMark/>
          </w:tcPr>
          <w:p w14:paraId="04DD4C67"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7.264.937,54</w:t>
            </w:r>
          </w:p>
        </w:tc>
      </w:tr>
      <w:tr w:rsidR="00D10805" w:rsidRPr="00A17B6F" w14:paraId="280C31DD" w14:textId="77777777" w:rsidTr="00D10805">
        <w:trPr>
          <w:trHeight w:val="480"/>
        </w:trPr>
        <w:tc>
          <w:tcPr>
            <w:tcW w:w="709" w:type="dxa"/>
            <w:tcBorders>
              <w:top w:val="nil"/>
              <w:left w:val="nil"/>
              <w:bottom w:val="nil"/>
              <w:right w:val="nil"/>
            </w:tcBorders>
            <w:shd w:val="clear" w:color="auto" w:fill="auto"/>
            <w:vAlign w:val="center"/>
            <w:hideMark/>
          </w:tcPr>
          <w:p w14:paraId="0A52B1B8"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66</w:t>
            </w:r>
          </w:p>
        </w:tc>
        <w:tc>
          <w:tcPr>
            <w:tcW w:w="2309" w:type="dxa"/>
            <w:tcBorders>
              <w:top w:val="nil"/>
              <w:left w:val="nil"/>
              <w:bottom w:val="nil"/>
              <w:right w:val="nil"/>
            </w:tcBorders>
            <w:shd w:val="clear" w:color="auto" w:fill="auto"/>
            <w:vAlign w:val="center"/>
            <w:hideMark/>
          </w:tcPr>
          <w:p w14:paraId="21788A1B"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Prihodi od prodaje proizvoda i robe te pruženih usluga i prihodi od donacija</w:t>
            </w:r>
          </w:p>
        </w:tc>
        <w:tc>
          <w:tcPr>
            <w:tcW w:w="1235" w:type="dxa"/>
            <w:tcBorders>
              <w:top w:val="nil"/>
              <w:left w:val="nil"/>
              <w:bottom w:val="nil"/>
              <w:right w:val="nil"/>
            </w:tcBorders>
            <w:shd w:val="clear" w:color="auto" w:fill="auto"/>
            <w:noWrap/>
            <w:vAlign w:val="center"/>
            <w:hideMark/>
          </w:tcPr>
          <w:p w14:paraId="2856F25F"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5.024.842,38</w:t>
            </w:r>
          </w:p>
        </w:tc>
        <w:tc>
          <w:tcPr>
            <w:tcW w:w="1276" w:type="dxa"/>
            <w:tcBorders>
              <w:top w:val="nil"/>
              <w:left w:val="nil"/>
              <w:bottom w:val="nil"/>
              <w:right w:val="nil"/>
            </w:tcBorders>
            <w:shd w:val="clear" w:color="auto" w:fill="auto"/>
            <w:noWrap/>
            <w:vAlign w:val="center"/>
            <w:hideMark/>
          </w:tcPr>
          <w:p w14:paraId="2A9CE1B5"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16.823.697,77</w:t>
            </w:r>
          </w:p>
        </w:tc>
        <w:tc>
          <w:tcPr>
            <w:tcW w:w="1275" w:type="dxa"/>
            <w:tcBorders>
              <w:top w:val="nil"/>
              <w:left w:val="nil"/>
              <w:bottom w:val="nil"/>
              <w:right w:val="nil"/>
            </w:tcBorders>
            <w:shd w:val="clear" w:color="auto" w:fill="auto"/>
            <w:noWrap/>
            <w:vAlign w:val="center"/>
            <w:hideMark/>
          </w:tcPr>
          <w:p w14:paraId="5F8BA343"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5.416.503,72</w:t>
            </w:r>
          </w:p>
        </w:tc>
        <w:tc>
          <w:tcPr>
            <w:tcW w:w="960" w:type="dxa"/>
            <w:tcBorders>
              <w:top w:val="nil"/>
              <w:left w:val="nil"/>
              <w:bottom w:val="nil"/>
              <w:right w:val="nil"/>
            </w:tcBorders>
            <w:shd w:val="clear" w:color="auto" w:fill="auto"/>
            <w:noWrap/>
            <w:vAlign w:val="center"/>
            <w:hideMark/>
          </w:tcPr>
          <w:p w14:paraId="0B031843"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107,79</w:t>
            </w:r>
          </w:p>
        </w:tc>
        <w:tc>
          <w:tcPr>
            <w:tcW w:w="883" w:type="dxa"/>
            <w:tcBorders>
              <w:top w:val="nil"/>
              <w:left w:val="nil"/>
              <w:bottom w:val="nil"/>
              <w:right w:val="nil"/>
            </w:tcBorders>
            <w:shd w:val="clear" w:color="auto" w:fill="auto"/>
            <w:noWrap/>
            <w:vAlign w:val="center"/>
            <w:hideMark/>
          </w:tcPr>
          <w:p w14:paraId="10C66A6E"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32,20</w:t>
            </w:r>
          </w:p>
        </w:tc>
        <w:tc>
          <w:tcPr>
            <w:tcW w:w="1276" w:type="dxa"/>
            <w:tcBorders>
              <w:top w:val="nil"/>
              <w:left w:val="nil"/>
              <w:bottom w:val="nil"/>
              <w:right w:val="nil"/>
            </w:tcBorders>
            <w:shd w:val="clear" w:color="auto" w:fill="auto"/>
            <w:noWrap/>
            <w:vAlign w:val="center"/>
            <w:hideMark/>
          </w:tcPr>
          <w:p w14:paraId="26EDB84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134.992,01</w:t>
            </w:r>
          </w:p>
        </w:tc>
        <w:tc>
          <w:tcPr>
            <w:tcW w:w="1276" w:type="dxa"/>
            <w:tcBorders>
              <w:top w:val="nil"/>
              <w:left w:val="nil"/>
              <w:bottom w:val="nil"/>
              <w:right w:val="nil"/>
            </w:tcBorders>
            <w:shd w:val="clear" w:color="auto" w:fill="auto"/>
            <w:noWrap/>
            <w:vAlign w:val="center"/>
            <w:hideMark/>
          </w:tcPr>
          <w:p w14:paraId="08C27B98"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5.281.511,71</w:t>
            </w:r>
          </w:p>
        </w:tc>
      </w:tr>
      <w:tr w:rsidR="00D10805" w:rsidRPr="00A17B6F" w14:paraId="1BE09A5D" w14:textId="77777777" w:rsidTr="00D10805">
        <w:trPr>
          <w:trHeight w:val="480"/>
        </w:trPr>
        <w:tc>
          <w:tcPr>
            <w:tcW w:w="709" w:type="dxa"/>
            <w:tcBorders>
              <w:top w:val="nil"/>
              <w:left w:val="nil"/>
              <w:bottom w:val="nil"/>
              <w:right w:val="nil"/>
            </w:tcBorders>
            <w:shd w:val="clear" w:color="auto" w:fill="auto"/>
            <w:vAlign w:val="center"/>
            <w:hideMark/>
          </w:tcPr>
          <w:p w14:paraId="76E1B53D"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67</w:t>
            </w:r>
          </w:p>
        </w:tc>
        <w:tc>
          <w:tcPr>
            <w:tcW w:w="2309" w:type="dxa"/>
            <w:tcBorders>
              <w:top w:val="nil"/>
              <w:left w:val="nil"/>
              <w:bottom w:val="nil"/>
              <w:right w:val="nil"/>
            </w:tcBorders>
            <w:shd w:val="clear" w:color="auto" w:fill="auto"/>
            <w:vAlign w:val="center"/>
            <w:hideMark/>
          </w:tcPr>
          <w:p w14:paraId="4BF2C9B7"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Prihodi od HZZO-a na temelju ugovorenih obveza</w:t>
            </w:r>
          </w:p>
        </w:tc>
        <w:tc>
          <w:tcPr>
            <w:tcW w:w="1235" w:type="dxa"/>
            <w:tcBorders>
              <w:top w:val="nil"/>
              <w:left w:val="nil"/>
              <w:bottom w:val="nil"/>
              <w:right w:val="nil"/>
            </w:tcBorders>
            <w:shd w:val="clear" w:color="auto" w:fill="auto"/>
            <w:noWrap/>
            <w:vAlign w:val="center"/>
            <w:hideMark/>
          </w:tcPr>
          <w:p w14:paraId="3C31425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25.193.972,71</w:t>
            </w:r>
          </w:p>
        </w:tc>
        <w:tc>
          <w:tcPr>
            <w:tcW w:w="1276" w:type="dxa"/>
            <w:tcBorders>
              <w:top w:val="nil"/>
              <w:left w:val="nil"/>
              <w:bottom w:val="nil"/>
              <w:right w:val="nil"/>
            </w:tcBorders>
            <w:shd w:val="clear" w:color="auto" w:fill="auto"/>
            <w:noWrap/>
            <w:vAlign w:val="center"/>
            <w:hideMark/>
          </w:tcPr>
          <w:p w14:paraId="48CA69F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66.103.948,68</w:t>
            </w:r>
          </w:p>
        </w:tc>
        <w:tc>
          <w:tcPr>
            <w:tcW w:w="1275" w:type="dxa"/>
            <w:tcBorders>
              <w:top w:val="nil"/>
              <w:left w:val="nil"/>
              <w:bottom w:val="nil"/>
              <w:right w:val="nil"/>
            </w:tcBorders>
            <w:shd w:val="clear" w:color="auto" w:fill="auto"/>
            <w:noWrap/>
            <w:vAlign w:val="center"/>
            <w:hideMark/>
          </w:tcPr>
          <w:p w14:paraId="18509761"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30.890.054,97</w:t>
            </w:r>
          </w:p>
        </w:tc>
        <w:tc>
          <w:tcPr>
            <w:tcW w:w="960" w:type="dxa"/>
            <w:tcBorders>
              <w:top w:val="nil"/>
              <w:left w:val="nil"/>
              <w:bottom w:val="nil"/>
              <w:right w:val="nil"/>
            </w:tcBorders>
            <w:shd w:val="clear" w:color="auto" w:fill="auto"/>
            <w:noWrap/>
            <w:vAlign w:val="center"/>
            <w:hideMark/>
          </w:tcPr>
          <w:p w14:paraId="66CC2BDE"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122,61</w:t>
            </w:r>
          </w:p>
        </w:tc>
        <w:tc>
          <w:tcPr>
            <w:tcW w:w="883" w:type="dxa"/>
            <w:tcBorders>
              <w:top w:val="nil"/>
              <w:left w:val="nil"/>
              <w:bottom w:val="nil"/>
              <w:right w:val="nil"/>
            </w:tcBorders>
            <w:shd w:val="clear" w:color="auto" w:fill="auto"/>
            <w:noWrap/>
            <w:vAlign w:val="center"/>
            <w:hideMark/>
          </w:tcPr>
          <w:p w14:paraId="41BBD65D"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46,73</w:t>
            </w:r>
          </w:p>
        </w:tc>
        <w:tc>
          <w:tcPr>
            <w:tcW w:w="1276" w:type="dxa"/>
            <w:tcBorders>
              <w:top w:val="nil"/>
              <w:left w:val="nil"/>
              <w:bottom w:val="nil"/>
              <w:right w:val="nil"/>
            </w:tcBorders>
            <w:shd w:val="clear" w:color="auto" w:fill="auto"/>
            <w:noWrap/>
            <w:vAlign w:val="center"/>
            <w:hideMark/>
          </w:tcPr>
          <w:p w14:paraId="5E1B8B25"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c>
          <w:tcPr>
            <w:tcW w:w="1276" w:type="dxa"/>
            <w:tcBorders>
              <w:top w:val="nil"/>
              <w:left w:val="nil"/>
              <w:bottom w:val="nil"/>
              <w:right w:val="nil"/>
            </w:tcBorders>
            <w:shd w:val="clear" w:color="auto" w:fill="auto"/>
            <w:noWrap/>
            <w:vAlign w:val="center"/>
            <w:hideMark/>
          </w:tcPr>
          <w:p w14:paraId="61B5F0B7"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30.890.054,97</w:t>
            </w:r>
          </w:p>
        </w:tc>
      </w:tr>
      <w:tr w:rsidR="00D10805" w:rsidRPr="00A17B6F" w14:paraId="622DE46C" w14:textId="77777777" w:rsidTr="00D10805">
        <w:trPr>
          <w:trHeight w:val="315"/>
        </w:trPr>
        <w:tc>
          <w:tcPr>
            <w:tcW w:w="709" w:type="dxa"/>
            <w:tcBorders>
              <w:top w:val="nil"/>
              <w:left w:val="nil"/>
              <w:bottom w:val="nil"/>
              <w:right w:val="nil"/>
            </w:tcBorders>
            <w:shd w:val="clear" w:color="auto" w:fill="auto"/>
            <w:vAlign w:val="center"/>
            <w:hideMark/>
          </w:tcPr>
          <w:p w14:paraId="128E9B42"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68</w:t>
            </w:r>
          </w:p>
        </w:tc>
        <w:tc>
          <w:tcPr>
            <w:tcW w:w="2309" w:type="dxa"/>
            <w:tcBorders>
              <w:top w:val="nil"/>
              <w:left w:val="nil"/>
              <w:bottom w:val="nil"/>
              <w:right w:val="nil"/>
            </w:tcBorders>
            <w:shd w:val="clear" w:color="auto" w:fill="auto"/>
            <w:vAlign w:val="center"/>
            <w:hideMark/>
          </w:tcPr>
          <w:p w14:paraId="03E6F2AB"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Kazne, upravne mjere i ostali prihodi</w:t>
            </w:r>
          </w:p>
        </w:tc>
        <w:tc>
          <w:tcPr>
            <w:tcW w:w="1235" w:type="dxa"/>
            <w:tcBorders>
              <w:top w:val="nil"/>
              <w:left w:val="nil"/>
              <w:bottom w:val="nil"/>
              <w:right w:val="nil"/>
            </w:tcBorders>
            <w:shd w:val="clear" w:color="auto" w:fill="auto"/>
            <w:noWrap/>
            <w:vAlign w:val="center"/>
            <w:hideMark/>
          </w:tcPr>
          <w:p w14:paraId="4DF84CB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147.342,05</w:t>
            </w:r>
          </w:p>
        </w:tc>
        <w:tc>
          <w:tcPr>
            <w:tcW w:w="1276" w:type="dxa"/>
            <w:tcBorders>
              <w:top w:val="nil"/>
              <w:left w:val="nil"/>
              <w:bottom w:val="nil"/>
              <w:right w:val="nil"/>
            </w:tcBorders>
            <w:shd w:val="clear" w:color="auto" w:fill="auto"/>
            <w:noWrap/>
            <w:vAlign w:val="center"/>
            <w:hideMark/>
          </w:tcPr>
          <w:p w14:paraId="49A48E21"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94.638,97</w:t>
            </w:r>
          </w:p>
        </w:tc>
        <w:tc>
          <w:tcPr>
            <w:tcW w:w="1275" w:type="dxa"/>
            <w:tcBorders>
              <w:top w:val="nil"/>
              <w:left w:val="nil"/>
              <w:bottom w:val="nil"/>
              <w:right w:val="nil"/>
            </w:tcBorders>
            <w:shd w:val="clear" w:color="auto" w:fill="auto"/>
            <w:noWrap/>
            <w:vAlign w:val="center"/>
            <w:hideMark/>
          </w:tcPr>
          <w:p w14:paraId="48ED6CE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57.022,95</w:t>
            </w:r>
          </w:p>
        </w:tc>
        <w:tc>
          <w:tcPr>
            <w:tcW w:w="960" w:type="dxa"/>
            <w:tcBorders>
              <w:top w:val="nil"/>
              <w:left w:val="nil"/>
              <w:bottom w:val="nil"/>
              <w:right w:val="nil"/>
            </w:tcBorders>
            <w:shd w:val="clear" w:color="auto" w:fill="auto"/>
            <w:noWrap/>
            <w:vAlign w:val="center"/>
            <w:hideMark/>
          </w:tcPr>
          <w:p w14:paraId="5778408C"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38,70</w:t>
            </w:r>
          </w:p>
        </w:tc>
        <w:tc>
          <w:tcPr>
            <w:tcW w:w="883" w:type="dxa"/>
            <w:tcBorders>
              <w:top w:val="nil"/>
              <w:left w:val="nil"/>
              <w:bottom w:val="nil"/>
              <w:right w:val="nil"/>
            </w:tcBorders>
            <w:shd w:val="clear" w:color="auto" w:fill="auto"/>
            <w:noWrap/>
            <w:vAlign w:val="center"/>
            <w:hideMark/>
          </w:tcPr>
          <w:p w14:paraId="3B511825"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60,25</w:t>
            </w:r>
          </w:p>
        </w:tc>
        <w:tc>
          <w:tcPr>
            <w:tcW w:w="1276" w:type="dxa"/>
            <w:tcBorders>
              <w:top w:val="nil"/>
              <w:left w:val="nil"/>
              <w:bottom w:val="nil"/>
              <w:right w:val="nil"/>
            </w:tcBorders>
            <w:shd w:val="clear" w:color="auto" w:fill="auto"/>
            <w:noWrap/>
            <w:vAlign w:val="center"/>
            <w:hideMark/>
          </w:tcPr>
          <w:p w14:paraId="311822C0"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30.013,40</w:t>
            </w:r>
          </w:p>
        </w:tc>
        <w:tc>
          <w:tcPr>
            <w:tcW w:w="1276" w:type="dxa"/>
            <w:tcBorders>
              <w:top w:val="nil"/>
              <w:left w:val="nil"/>
              <w:bottom w:val="nil"/>
              <w:right w:val="nil"/>
            </w:tcBorders>
            <w:shd w:val="clear" w:color="auto" w:fill="auto"/>
            <w:noWrap/>
            <w:vAlign w:val="center"/>
            <w:hideMark/>
          </w:tcPr>
          <w:p w14:paraId="05F9FB6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27.009,55</w:t>
            </w:r>
          </w:p>
        </w:tc>
      </w:tr>
      <w:tr w:rsidR="00D10805" w:rsidRPr="00A17B6F" w14:paraId="229594A1" w14:textId="77777777" w:rsidTr="00D10805">
        <w:trPr>
          <w:trHeight w:val="495"/>
        </w:trPr>
        <w:tc>
          <w:tcPr>
            <w:tcW w:w="709" w:type="dxa"/>
            <w:tcBorders>
              <w:top w:val="single" w:sz="8" w:space="0" w:color="auto"/>
              <w:left w:val="nil"/>
              <w:bottom w:val="single" w:sz="8" w:space="0" w:color="auto"/>
              <w:right w:val="nil"/>
            </w:tcBorders>
            <w:shd w:val="clear" w:color="000000" w:fill="F2F2F2"/>
            <w:noWrap/>
            <w:vAlign w:val="center"/>
            <w:hideMark/>
          </w:tcPr>
          <w:p w14:paraId="15A0ECD0" w14:textId="77777777" w:rsidR="00D10805" w:rsidRPr="00A17B6F" w:rsidRDefault="00D10805" w:rsidP="00D10805">
            <w:pPr>
              <w:spacing w:after="0" w:line="240" w:lineRule="auto"/>
              <w:jc w:val="center"/>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7</w:t>
            </w:r>
          </w:p>
        </w:tc>
        <w:tc>
          <w:tcPr>
            <w:tcW w:w="2309" w:type="dxa"/>
            <w:tcBorders>
              <w:top w:val="single" w:sz="8" w:space="0" w:color="auto"/>
              <w:left w:val="nil"/>
              <w:bottom w:val="single" w:sz="8" w:space="0" w:color="auto"/>
              <w:right w:val="nil"/>
            </w:tcBorders>
            <w:shd w:val="clear" w:color="000000" w:fill="F2F2F2"/>
            <w:vAlign w:val="center"/>
            <w:hideMark/>
          </w:tcPr>
          <w:p w14:paraId="59A9986A" w14:textId="77777777" w:rsidR="00D10805" w:rsidRPr="00A17B6F" w:rsidRDefault="00D10805" w:rsidP="00D10805">
            <w:pPr>
              <w:spacing w:after="0" w:line="240" w:lineRule="auto"/>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PRIHODI OD PRODAJE NEFINANCIJSKE IMOVINE</w:t>
            </w:r>
          </w:p>
        </w:tc>
        <w:tc>
          <w:tcPr>
            <w:tcW w:w="1235" w:type="dxa"/>
            <w:tcBorders>
              <w:top w:val="single" w:sz="8" w:space="0" w:color="auto"/>
              <w:left w:val="nil"/>
              <w:bottom w:val="single" w:sz="8" w:space="0" w:color="auto"/>
              <w:right w:val="nil"/>
            </w:tcBorders>
            <w:shd w:val="clear" w:color="000000" w:fill="F2F2F2"/>
            <w:noWrap/>
            <w:vAlign w:val="center"/>
            <w:hideMark/>
          </w:tcPr>
          <w:p w14:paraId="5A4904D4"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43.753,84</w:t>
            </w:r>
          </w:p>
        </w:tc>
        <w:tc>
          <w:tcPr>
            <w:tcW w:w="1276" w:type="dxa"/>
            <w:tcBorders>
              <w:top w:val="single" w:sz="8" w:space="0" w:color="auto"/>
              <w:left w:val="nil"/>
              <w:bottom w:val="single" w:sz="8" w:space="0" w:color="auto"/>
              <w:right w:val="nil"/>
            </w:tcBorders>
            <w:shd w:val="clear" w:color="000000" w:fill="F2F2F2"/>
            <w:noWrap/>
            <w:vAlign w:val="center"/>
            <w:hideMark/>
          </w:tcPr>
          <w:p w14:paraId="3E4B2F8D"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725.977,38</w:t>
            </w:r>
          </w:p>
        </w:tc>
        <w:tc>
          <w:tcPr>
            <w:tcW w:w="1275" w:type="dxa"/>
            <w:tcBorders>
              <w:top w:val="single" w:sz="8" w:space="0" w:color="auto"/>
              <w:left w:val="nil"/>
              <w:bottom w:val="single" w:sz="8" w:space="0" w:color="auto"/>
              <w:right w:val="nil"/>
            </w:tcBorders>
            <w:shd w:val="clear" w:color="000000" w:fill="F2F2F2"/>
            <w:noWrap/>
            <w:vAlign w:val="center"/>
            <w:hideMark/>
          </w:tcPr>
          <w:p w14:paraId="656C1BB2"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314.462,28</w:t>
            </w:r>
          </w:p>
        </w:tc>
        <w:tc>
          <w:tcPr>
            <w:tcW w:w="960" w:type="dxa"/>
            <w:tcBorders>
              <w:top w:val="single" w:sz="8" w:space="0" w:color="auto"/>
              <w:left w:val="nil"/>
              <w:bottom w:val="single" w:sz="8" w:space="0" w:color="auto"/>
              <w:right w:val="nil"/>
            </w:tcBorders>
            <w:shd w:val="clear" w:color="000000" w:fill="F2F2F2"/>
            <w:noWrap/>
            <w:vAlign w:val="center"/>
            <w:hideMark/>
          </w:tcPr>
          <w:p w14:paraId="7F6F75F2"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718,71</w:t>
            </w:r>
          </w:p>
        </w:tc>
        <w:tc>
          <w:tcPr>
            <w:tcW w:w="883" w:type="dxa"/>
            <w:tcBorders>
              <w:top w:val="single" w:sz="8" w:space="0" w:color="auto"/>
              <w:left w:val="nil"/>
              <w:bottom w:val="single" w:sz="8" w:space="0" w:color="auto"/>
              <w:right w:val="nil"/>
            </w:tcBorders>
            <w:shd w:val="clear" w:color="000000" w:fill="F2F2F2"/>
            <w:noWrap/>
            <w:vAlign w:val="center"/>
            <w:hideMark/>
          </w:tcPr>
          <w:p w14:paraId="720CAF89"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43,32</w:t>
            </w:r>
          </w:p>
        </w:tc>
        <w:tc>
          <w:tcPr>
            <w:tcW w:w="1276" w:type="dxa"/>
            <w:tcBorders>
              <w:top w:val="single" w:sz="8" w:space="0" w:color="auto"/>
              <w:left w:val="nil"/>
              <w:bottom w:val="single" w:sz="8" w:space="0" w:color="auto"/>
              <w:right w:val="nil"/>
            </w:tcBorders>
            <w:shd w:val="clear" w:color="000000" w:fill="F2F2F2"/>
            <w:noWrap/>
            <w:vAlign w:val="center"/>
            <w:hideMark/>
          </w:tcPr>
          <w:p w14:paraId="6BB706E4"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0,00</w:t>
            </w:r>
          </w:p>
        </w:tc>
        <w:tc>
          <w:tcPr>
            <w:tcW w:w="1276" w:type="dxa"/>
            <w:tcBorders>
              <w:top w:val="single" w:sz="8" w:space="0" w:color="auto"/>
              <w:left w:val="nil"/>
              <w:bottom w:val="single" w:sz="8" w:space="0" w:color="auto"/>
              <w:right w:val="nil"/>
            </w:tcBorders>
            <w:shd w:val="clear" w:color="000000" w:fill="F2F2F2"/>
            <w:noWrap/>
            <w:vAlign w:val="center"/>
            <w:hideMark/>
          </w:tcPr>
          <w:p w14:paraId="679036DC"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314.462,28</w:t>
            </w:r>
          </w:p>
        </w:tc>
      </w:tr>
      <w:tr w:rsidR="00D10805" w:rsidRPr="00A17B6F" w14:paraId="7C7B49D6" w14:textId="77777777" w:rsidTr="00D10805">
        <w:trPr>
          <w:trHeight w:val="495"/>
        </w:trPr>
        <w:tc>
          <w:tcPr>
            <w:tcW w:w="709" w:type="dxa"/>
            <w:tcBorders>
              <w:top w:val="nil"/>
              <w:left w:val="nil"/>
              <w:bottom w:val="single" w:sz="8" w:space="0" w:color="auto"/>
              <w:right w:val="nil"/>
            </w:tcBorders>
            <w:shd w:val="clear" w:color="000000" w:fill="F2F2F2"/>
            <w:noWrap/>
            <w:vAlign w:val="center"/>
            <w:hideMark/>
          </w:tcPr>
          <w:p w14:paraId="5F739DE2"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8</w:t>
            </w:r>
          </w:p>
        </w:tc>
        <w:tc>
          <w:tcPr>
            <w:tcW w:w="2309" w:type="dxa"/>
            <w:tcBorders>
              <w:top w:val="nil"/>
              <w:left w:val="nil"/>
              <w:bottom w:val="single" w:sz="8" w:space="0" w:color="auto"/>
              <w:right w:val="nil"/>
            </w:tcBorders>
            <w:shd w:val="clear" w:color="000000" w:fill="F2F2F2"/>
            <w:vAlign w:val="center"/>
            <w:hideMark/>
          </w:tcPr>
          <w:p w14:paraId="717CC62F"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PRIMICI OD FINANCIJSKE IMOVINE I ZADUŽIVANJA</w:t>
            </w:r>
          </w:p>
        </w:tc>
        <w:tc>
          <w:tcPr>
            <w:tcW w:w="1235" w:type="dxa"/>
            <w:tcBorders>
              <w:top w:val="nil"/>
              <w:left w:val="nil"/>
              <w:bottom w:val="single" w:sz="8" w:space="0" w:color="auto"/>
              <w:right w:val="nil"/>
            </w:tcBorders>
            <w:shd w:val="clear" w:color="000000" w:fill="F2F2F2"/>
            <w:noWrap/>
            <w:vAlign w:val="center"/>
            <w:hideMark/>
          </w:tcPr>
          <w:p w14:paraId="5ACBE62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177.118,43</w:t>
            </w:r>
          </w:p>
        </w:tc>
        <w:tc>
          <w:tcPr>
            <w:tcW w:w="1276" w:type="dxa"/>
            <w:tcBorders>
              <w:top w:val="nil"/>
              <w:left w:val="nil"/>
              <w:bottom w:val="single" w:sz="8" w:space="0" w:color="auto"/>
              <w:right w:val="nil"/>
            </w:tcBorders>
            <w:shd w:val="clear" w:color="000000" w:fill="F2F2F2"/>
            <w:noWrap/>
            <w:vAlign w:val="center"/>
            <w:hideMark/>
          </w:tcPr>
          <w:p w14:paraId="5B49EB71"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2.559.645,00</w:t>
            </w:r>
          </w:p>
        </w:tc>
        <w:tc>
          <w:tcPr>
            <w:tcW w:w="1275" w:type="dxa"/>
            <w:tcBorders>
              <w:top w:val="nil"/>
              <w:left w:val="nil"/>
              <w:bottom w:val="single" w:sz="8" w:space="0" w:color="auto"/>
              <w:right w:val="nil"/>
            </w:tcBorders>
            <w:shd w:val="clear" w:color="000000" w:fill="F2F2F2"/>
            <w:noWrap/>
            <w:vAlign w:val="center"/>
            <w:hideMark/>
          </w:tcPr>
          <w:p w14:paraId="3DDA3680"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2.310,90</w:t>
            </w:r>
          </w:p>
        </w:tc>
        <w:tc>
          <w:tcPr>
            <w:tcW w:w="960" w:type="dxa"/>
            <w:tcBorders>
              <w:top w:val="nil"/>
              <w:left w:val="nil"/>
              <w:bottom w:val="single" w:sz="8" w:space="0" w:color="auto"/>
              <w:right w:val="nil"/>
            </w:tcBorders>
            <w:shd w:val="clear" w:color="000000" w:fill="F2F2F2"/>
            <w:noWrap/>
            <w:vAlign w:val="center"/>
            <w:hideMark/>
          </w:tcPr>
          <w:p w14:paraId="7769AE47"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1,30</w:t>
            </w:r>
          </w:p>
        </w:tc>
        <w:tc>
          <w:tcPr>
            <w:tcW w:w="883" w:type="dxa"/>
            <w:tcBorders>
              <w:top w:val="nil"/>
              <w:left w:val="nil"/>
              <w:bottom w:val="single" w:sz="8" w:space="0" w:color="auto"/>
              <w:right w:val="nil"/>
            </w:tcBorders>
            <w:shd w:val="clear" w:color="000000" w:fill="F2F2F2"/>
            <w:noWrap/>
            <w:vAlign w:val="center"/>
            <w:hideMark/>
          </w:tcPr>
          <w:p w14:paraId="2C4FDB9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0,09</w:t>
            </w:r>
          </w:p>
        </w:tc>
        <w:tc>
          <w:tcPr>
            <w:tcW w:w="1276" w:type="dxa"/>
            <w:tcBorders>
              <w:top w:val="nil"/>
              <w:left w:val="nil"/>
              <w:bottom w:val="single" w:sz="8" w:space="0" w:color="auto"/>
              <w:right w:val="nil"/>
            </w:tcBorders>
            <w:shd w:val="clear" w:color="000000" w:fill="F2F2F2"/>
            <w:noWrap/>
            <w:vAlign w:val="center"/>
            <w:hideMark/>
          </w:tcPr>
          <w:p w14:paraId="0EA73A99"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c>
          <w:tcPr>
            <w:tcW w:w="1276" w:type="dxa"/>
            <w:tcBorders>
              <w:top w:val="nil"/>
              <w:left w:val="nil"/>
              <w:bottom w:val="single" w:sz="8" w:space="0" w:color="auto"/>
              <w:right w:val="nil"/>
            </w:tcBorders>
            <w:shd w:val="clear" w:color="000000" w:fill="F2F2F2"/>
            <w:noWrap/>
            <w:vAlign w:val="center"/>
            <w:hideMark/>
          </w:tcPr>
          <w:p w14:paraId="407FA8C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2.310,90</w:t>
            </w:r>
          </w:p>
        </w:tc>
      </w:tr>
      <w:tr w:rsidR="00D10805" w:rsidRPr="00A17B6F" w14:paraId="614A5FF5" w14:textId="77777777" w:rsidTr="00D10805">
        <w:trPr>
          <w:trHeight w:val="480"/>
        </w:trPr>
        <w:tc>
          <w:tcPr>
            <w:tcW w:w="709" w:type="dxa"/>
            <w:tcBorders>
              <w:top w:val="nil"/>
              <w:left w:val="nil"/>
              <w:bottom w:val="nil"/>
              <w:right w:val="nil"/>
            </w:tcBorders>
            <w:shd w:val="clear" w:color="auto" w:fill="auto"/>
            <w:vAlign w:val="center"/>
            <w:hideMark/>
          </w:tcPr>
          <w:p w14:paraId="20CC8BA2"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81</w:t>
            </w:r>
          </w:p>
        </w:tc>
        <w:tc>
          <w:tcPr>
            <w:tcW w:w="2309" w:type="dxa"/>
            <w:tcBorders>
              <w:top w:val="nil"/>
              <w:left w:val="nil"/>
              <w:bottom w:val="nil"/>
              <w:right w:val="nil"/>
            </w:tcBorders>
            <w:shd w:val="clear" w:color="auto" w:fill="auto"/>
            <w:vAlign w:val="center"/>
            <w:hideMark/>
          </w:tcPr>
          <w:p w14:paraId="6215871D"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81 Primljeni povrati glavnica danih zajmova i depozita</w:t>
            </w:r>
          </w:p>
        </w:tc>
        <w:tc>
          <w:tcPr>
            <w:tcW w:w="1235" w:type="dxa"/>
            <w:tcBorders>
              <w:top w:val="nil"/>
              <w:left w:val="nil"/>
              <w:bottom w:val="nil"/>
              <w:right w:val="nil"/>
            </w:tcBorders>
            <w:shd w:val="clear" w:color="000000" w:fill="FFFFFF"/>
            <w:noWrap/>
            <w:vAlign w:val="center"/>
            <w:hideMark/>
          </w:tcPr>
          <w:p w14:paraId="6EED456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2.310,90</w:t>
            </w:r>
          </w:p>
        </w:tc>
        <w:tc>
          <w:tcPr>
            <w:tcW w:w="1276" w:type="dxa"/>
            <w:tcBorders>
              <w:top w:val="nil"/>
              <w:left w:val="nil"/>
              <w:bottom w:val="nil"/>
              <w:right w:val="nil"/>
            </w:tcBorders>
            <w:shd w:val="clear" w:color="000000" w:fill="FFFFFF"/>
            <w:noWrap/>
            <w:vAlign w:val="center"/>
            <w:hideMark/>
          </w:tcPr>
          <w:p w14:paraId="1F8BEFB6"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4.645,00</w:t>
            </w:r>
          </w:p>
        </w:tc>
        <w:tc>
          <w:tcPr>
            <w:tcW w:w="1275" w:type="dxa"/>
            <w:tcBorders>
              <w:top w:val="nil"/>
              <w:left w:val="nil"/>
              <w:bottom w:val="nil"/>
              <w:right w:val="nil"/>
            </w:tcBorders>
            <w:shd w:val="clear" w:color="000000" w:fill="FFFFFF"/>
            <w:noWrap/>
            <w:vAlign w:val="center"/>
            <w:hideMark/>
          </w:tcPr>
          <w:p w14:paraId="5677DFA0"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2.310,90</w:t>
            </w:r>
          </w:p>
        </w:tc>
        <w:tc>
          <w:tcPr>
            <w:tcW w:w="960" w:type="dxa"/>
            <w:tcBorders>
              <w:top w:val="nil"/>
              <w:left w:val="nil"/>
              <w:bottom w:val="nil"/>
              <w:right w:val="nil"/>
            </w:tcBorders>
            <w:shd w:val="clear" w:color="000000" w:fill="FFFFFF"/>
            <w:noWrap/>
            <w:vAlign w:val="center"/>
            <w:hideMark/>
          </w:tcPr>
          <w:p w14:paraId="4FCAD40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100,00</w:t>
            </w:r>
          </w:p>
        </w:tc>
        <w:tc>
          <w:tcPr>
            <w:tcW w:w="883" w:type="dxa"/>
            <w:tcBorders>
              <w:top w:val="nil"/>
              <w:left w:val="nil"/>
              <w:bottom w:val="nil"/>
              <w:right w:val="nil"/>
            </w:tcBorders>
            <w:shd w:val="clear" w:color="000000" w:fill="FFFFFF"/>
            <w:noWrap/>
            <w:vAlign w:val="center"/>
            <w:hideMark/>
          </w:tcPr>
          <w:p w14:paraId="3335787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49,75</w:t>
            </w:r>
          </w:p>
        </w:tc>
        <w:tc>
          <w:tcPr>
            <w:tcW w:w="1276" w:type="dxa"/>
            <w:tcBorders>
              <w:top w:val="nil"/>
              <w:left w:val="nil"/>
              <w:bottom w:val="nil"/>
              <w:right w:val="nil"/>
            </w:tcBorders>
            <w:shd w:val="clear" w:color="000000" w:fill="FFFFFF"/>
            <w:noWrap/>
            <w:vAlign w:val="center"/>
            <w:hideMark/>
          </w:tcPr>
          <w:p w14:paraId="255A8E13"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c>
          <w:tcPr>
            <w:tcW w:w="1276" w:type="dxa"/>
            <w:tcBorders>
              <w:top w:val="nil"/>
              <w:left w:val="nil"/>
              <w:bottom w:val="nil"/>
              <w:right w:val="nil"/>
            </w:tcBorders>
            <w:shd w:val="clear" w:color="000000" w:fill="FFFFFF"/>
            <w:noWrap/>
            <w:vAlign w:val="center"/>
            <w:hideMark/>
          </w:tcPr>
          <w:p w14:paraId="1E092E85"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2.310,90</w:t>
            </w:r>
          </w:p>
        </w:tc>
      </w:tr>
      <w:tr w:rsidR="00D10805" w:rsidRPr="00A17B6F" w14:paraId="59FB3D9D" w14:textId="77777777" w:rsidTr="00D10805">
        <w:trPr>
          <w:trHeight w:val="315"/>
        </w:trPr>
        <w:tc>
          <w:tcPr>
            <w:tcW w:w="709" w:type="dxa"/>
            <w:tcBorders>
              <w:top w:val="nil"/>
              <w:left w:val="nil"/>
              <w:bottom w:val="nil"/>
              <w:right w:val="nil"/>
            </w:tcBorders>
            <w:shd w:val="clear" w:color="auto" w:fill="auto"/>
            <w:vAlign w:val="center"/>
            <w:hideMark/>
          </w:tcPr>
          <w:p w14:paraId="7D502A51"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84</w:t>
            </w:r>
          </w:p>
        </w:tc>
        <w:tc>
          <w:tcPr>
            <w:tcW w:w="2309" w:type="dxa"/>
            <w:tcBorders>
              <w:top w:val="nil"/>
              <w:left w:val="nil"/>
              <w:bottom w:val="nil"/>
              <w:right w:val="nil"/>
            </w:tcBorders>
            <w:shd w:val="clear" w:color="auto" w:fill="auto"/>
            <w:vAlign w:val="center"/>
            <w:hideMark/>
          </w:tcPr>
          <w:p w14:paraId="07747059"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Primici od zaduživanja</w:t>
            </w:r>
          </w:p>
        </w:tc>
        <w:tc>
          <w:tcPr>
            <w:tcW w:w="1235" w:type="dxa"/>
            <w:tcBorders>
              <w:top w:val="nil"/>
              <w:left w:val="nil"/>
              <w:bottom w:val="nil"/>
              <w:right w:val="nil"/>
            </w:tcBorders>
            <w:shd w:val="clear" w:color="000000" w:fill="FFFFFF"/>
            <w:noWrap/>
            <w:vAlign w:val="center"/>
            <w:hideMark/>
          </w:tcPr>
          <w:p w14:paraId="1906B0D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174.807,53</w:t>
            </w:r>
          </w:p>
        </w:tc>
        <w:tc>
          <w:tcPr>
            <w:tcW w:w="1276" w:type="dxa"/>
            <w:tcBorders>
              <w:top w:val="nil"/>
              <w:left w:val="nil"/>
              <w:bottom w:val="nil"/>
              <w:right w:val="nil"/>
            </w:tcBorders>
            <w:shd w:val="clear" w:color="000000" w:fill="FFFFFF"/>
            <w:noWrap/>
            <w:vAlign w:val="center"/>
            <w:hideMark/>
          </w:tcPr>
          <w:p w14:paraId="30BA1B6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2.555.000,00</w:t>
            </w:r>
          </w:p>
        </w:tc>
        <w:tc>
          <w:tcPr>
            <w:tcW w:w="1275" w:type="dxa"/>
            <w:tcBorders>
              <w:top w:val="nil"/>
              <w:left w:val="nil"/>
              <w:bottom w:val="nil"/>
              <w:right w:val="nil"/>
            </w:tcBorders>
            <w:shd w:val="clear" w:color="000000" w:fill="FFFFFF"/>
            <w:noWrap/>
            <w:vAlign w:val="center"/>
            <w:hideMark/>
          </w:tcPr>
          <w:p w14:paraId="6EB9A085"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c>
          <w:tcPr>
            <w:tcW w:w="960" w:type="dxa"/>
            <w:tcBorders>
              <w:top w:val="nil"/>
              <w:left w:val="nil"/>
              <w:bottom w:val="nil"/>
              <w:right w:val="nil"/>
            </w:tcBorders>
            <w:shd w:val="clear" w:color="000000" w:fill="FFFFFF"/>
            <w:noWrap/>
            <w:vAlign w:val="center"/>
            <w:hideMark/>
          </w:tcPr>
          <w:p w14:paraId="624FFC4F"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c>
          <w:tcPr>
            <w:tcW w:w="883" w:type="dxa"/>
            <w:tcBorders>
              <w:top w:val="nil"/>
              <w:left w:val="nil"/>
              <w:bottom w:val="nil"/>
              <w:right w:val="nil"/>
            </w:tcBorders>
            <w:shd w:val="clear" w:color="000000" w:fill="FFFFFF"/>
            <w:noWrap/>
            <w:vAlign w:val="center"/>
            <w:hideMark/>
          </w:tcPr>
          <w:p w14:paraId="318F556A"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c>
          <w:tcPr>
            <w:tcW w:w="1276" w:type="dxa"/>
            <w:tcBorders>
              <w:top w:val="nil"/>
              <w:left w:val="nil"/>
              <w:bottom w:val="nil"/>
              <w:right w:val="nil"/>
            </w:tcBorders>
            <w:shd w:val="clear" w:color="000000" w:fill="FFFFFF"/>
            <w:noWrap/>
            <w:vAlign w:val="center"/>
            <w:hideMark/>
          </w:tcPr>
          <w:p w14:paraId="62CCA0DE"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c>
          <w:tcPr>
            <w:tcW w:w="1276" w:type="dxa"/>
            <w:tcBorders>
              <w:top w:val="nil"/>
              <w:left w:val="nil"/>
              <w:bottom w:val="nil"/>
              <w:right w:val="nil"/>
            </w:tcBorders>
            <w:shd w:val="clear" w:color="000000" w:fill="FFFFFF"/>
            <w:noWrap/>
            <w:vAlign w:val="center"/>
            <w:hideMark/>
          </w:tcPr>
          <w:p w14:paraId="5F444AED"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0,00</w:t>
            </w:r>
          </w:p>
        </w:tc>
      </w:tr>
      <w:tr w:rsidR="00D10805" w:rsidRPr="00A17B6F" w14:paraId="09A98D16" w14:textId="77777777" w:rsidTr="00D10805">
        <w:trPr>
          <w:trHeight w:val="315"/>
        </w:trPr>
        <w:tc>
          <w:tcPr>
            <w:tcW w:w="709" w:type="dxa"/>
            <w:tcBorders>
              <w:top w:val="single" w:sz="8" w:space="0" w:color="auto"/>
              <w:left w:val="nil"/>
              <w:bottom w:val="single" w:sz="8" w:space="0" w:color="auto"/>
              <w:right w:val="nil"/>
            </w:tcBorders>
            <w:shd w:val="clear" w:color="auto" w:fill="auto"/>
            <w:noWrap/>
            <w:vAlign w:val="center"/>
            <w:hideMark/>
          </w:tcPr>
          <w:p w14:paraId="16778FDF"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 </w:t>
            </w:r>
          </w:p>
        </w:tc>
        <w:tc>
          <w:tcPr>
            <w:tcW w:w="2309" w:type="dxa"/>
            <w:tcBorders>
              <w:top w:val="single" w:sz="8" w:space="0" w:color="auto"/>
              <w:left w:val="nil"/>
              <w:bottom w:val="single" w:sz="8" w:space="0" w:color="auto"/>
              <w:right w:val="nil"/>
            </w:tcBorders>
            <w:shd w:val="clear" w:color="auto" w:fill="auto"/>
            <w:vAlign w:val="center"/>
            <w:hideMark/>
          </w:tcPr>
          <w:p w14:paraId="03D71DB4"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UKUPNO PRIHODI I PRIMICI</w:t>
            </w:r>
          </w:p>
        </w:tc>
        <w:tc>
          <w:tcPr>
            <w:tcW w:w="1235" w:type="dxa"/>
            <w:tcBorders>
              <w:top w:val="single" w:sz="8" w:space="0" w:color="auto"/>
              <w:left w:val="nil"/>
              <w:bottom w:val="single" w:sz="8" w:space="0" w:color="auto"/>
              <w:right w:val="nil"/>
            </w:tcBorders>
            <w:shd w:val="clear" w:color="000000" w:fill="FFFFFF"/>
            <w:noWrap/>
            <w:vAlign w:val="center"/>
            <w:hideMark/>
          </w:tcPr>
          <w:p w14:paraId="6E9B4500"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102.311.024,08</w:t>
            </w:r>
          </w:p>
        </w:tc>
        <w:tc>
          <w:tcPr>
            <w:tcW w:w="1276" w:type="dxa"/>
            <w:tcBorders>
              <w:top w:val="single" w:sz="8" w:space="0" w:color="auto"/>
              <w:left w:val="nil"/>
              <w:bottom w:val="single" w:sz="8" w:space="0" w:color="auto"/>
              <w:right w:val="nil"/>
            </w:tcBorders>
            <w:shd w:val="clear" w:color="000000" w:fill="FFFFFF"/>
            <w:noWrap/>
            <w:vAlign w:val="center"/>
            <w:hideMark/>
          </w:tcPr>
          <w:p w14:paraId="55B2FD3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283.360.622,19</w:t>
            </w:r>
          </w:p>
        </w:tc>
        <w:tc>
          <w:tcPr>
            <w:tcW w:w="1275" w:type="dxa"/>
            <w:tcBorders>
              <w:top w:val="single" w:sz="8" w:space="0" w:color="auto"/>
              <w:left w:val="nil"/>
              <w:bottom w:val="single" w:sz="8" w:space="0" w:color="auto"/>
              <w:right w:val="nil"/>
            </w:tcBorders>
            <w:shd w:val="clear" w:color="000000" w:fill="FFFFFF"/>
            <w:noWrap/>
            <w:vAlign w:val="center"/>
            <w:hideMark/>
          </w:tcPr>
          <w:p w14:paraId="4EA84C18"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133.309.481,33</w:t>
            </w:r>
          </w:p>
        </w:tc>
        <w:tc>
          <w:tcPr>
            <w:tcW w:w="960" w:type="dxa"/>
            <w:tcBorders>
              <w:top w:val="single" w:sz="8" w:space="0" w:color="auto"/>
              <w:left w:val="nil"/>
              <w:bottom w:val="single" w:sz="8" w:space="0" w:color="auto"/>
              <w:right w:val="nil"/>
            </w:tcBorders>
            <w:shd w:val="clear" w:color="000000" w:fill="FFFFFF"/>
            <w:noWrap/>
            <w:vAlign w:val="center"/>
            <w:hideMark/>
          </w:tcPr>
          <w:p w14:paraId="297C01E6"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130,30</w:t>
            </w:r>
          </w:p>
        </w:tc>
        <w:tc>
          <w:tcPr>
            <w:tcW w:w="883" w:type="dxa"/>
            <w:tcBorders>
              <w:top w:val="single" w:sz="8" w:space="0" w:color="auto"/>
              <w:left w:val="nil"/>
              <w:bottom w:val="single" w:sz="8" w:space="0" w:color="auto"/>
              <w:right w:val="nil"/>
            </w:tcBorders>
            <w:shd w:val="clear" w:color="000000" w:fill="FFFFFF"/>
            <w:noWrap/>
            <w:vAlign w:val="center"/>
            <w:hideMark/>
          </w:tcPr>
          <w:p w14:paraId="15618B7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47,05</w:t>
            </w:r>
          </w:p>
        </w:tc>
        <w:tc>
          <w:tcPr>
            <w:tcW w:w="1276" w:type="dxa"/>
            <w:tcBorders>
              <w:top w:val="single" w:sz="8" w:space="0" w:color="auto"/>
              <w:left w:val="nil"/>
              <w:bottom w:val="single" w:sz="8" w:space="0" w:color="auto"/>
              <w:right w:val="nil"/>
            </w:tcBorders>
            <w:shd w:val="clear" w:color="000000" w:fill="FFFFFF"/>
            <w:noWrap/>
            <w:vAlign w:val="center"/>
            <w:hideMark/>
          </w:tcPr>
          <w:p w14:paraId="5A30A6A1"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36.998.988,64</w:t>
            </w:r>
          </w:p>
        </w:tc>
        <w:tc>
          <w:tcPr>
            <w:tcW w:w="1276" w:type="dxa"/>
            <w:tcBorders>
              <w:top w:val="single" w:sz="8" w:space="0" w:color="auto"/>
              <w:left w:val="nil"/>
              <w:bottom w:val="single" w:sz="8" w:space="0" w:color="auto"/>
              <w:right w:val="nil"/>
            </w:tcBorders>
            <w:shd w:val="clear" w:color="000000" w:fill="FFFFFF"/>
            <w:noWrap/>
            <w:vAlign w:val="center"/>
            <w:hideMark/>
          </w:tcPr>
          <w:p w14:paraId="17754A21"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96.310.492,69</w:t>
            </w:r>
          </w:p>
        </w:tc>
      </w:tr>
    </w:tbl>
    <w:p w14:paraId="6E3327B2" w14:textId="3B86B819" w:rsidR="00D10805" w:rsidRPr="00A17B6F" w:rsidRDefault="00D10805" w:rsidP="00087289">
      <w:pPr>
        <w:overflowPunct w:val="0"/>
        <w:autoSpaceDE w:val="0"/>
        <w:autoSpaceDN w:val="0"/>
        <w:adjustRightInd w:val="0"/>
        <w:spacing w:after="0" w:line="240" w:lineRule="auto"/>
        <w:jc w:val="right"/>
        <w:textAlignment w:val="baseline"/>
        <w:rPr>
          <w:rFonts w:ascii="Arial" w:eastAsia="Times New Roman" w:hAnsi="Arial" w:cs="Arial"/>
          <w:sz w:val="10"/>
          <w:szCs w:val="10"/>
          <w:lang w:eastAsia="hr-HR"/>
        </w:rPr>
      </w:pPr>
    </w:p>
    <w:p w14:paraId="400776BB" w14:textId="77777777" w:rsidR="00D10805" w:rsidRPr="00A17B6F" w:rsidRDefault="00D10805" w:rsidP="00087289">
      <w:pPr>
        <w:overflowPunct w:val="0"/>
        <w:autoSpaceDE w:val="0"/>
        <w:autoSpaceDN w:val="0"/>
        <w:adjustRightInd w:val="0"/>
        <w:spacing w:after="0" w:line="240" w:lineRule="auto"/>
        <w:jc w:val="right"/>
        <w:textAlignment w:val="baseline"/>
        <w:rPr>
          <w:rFonts w:ascii="Arial" w:eastAsia="Times New Roman" w:hAnsi="Arial" w:cs="Arial"/>
          <w:sz w:val="10"/>
          <w:szCs w:val="10"/>
          <w:lang w:eastAsia="hr-HR"/>
        </w:rPr>
      </w:pPr>
    </w:p>
    <w:p w14:paraId="02DD5D49" w14:textId="77777777" w:rsidR="002E4B49" w:rsidRPr="00A17B6F" w:rsidRDefault="002E4B49"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p w14:paraId="595C67D0" w14:textId="0BCFD075" w:rsidR="00087289" w:rsidRPr="00A17B6F" w:rsidRDefault="00087289" w:rsidP="00087289">
      <w:pPr>
        <w:spacing w:after="0" w:line="240" w:lineRule="auto"/>
        <w:ind w:left="1440" w:right="72" w:hanging="1440"/>
        <w:rPr>
          <w:rFonts w:ascii="Arial" w:eastAsia="Times New Roman" w:hAnsi="Arial" w:cs="Arial"/>
          <w:sz w:val="23"/>
          <w:szCs w:val="23"/>
          <w:lang w:eastAsia="hr-HR"/>
        </w:rPr>
      </w:pPr>
      <w:r w:rsidRPr="00A17B6F">
        <w:rPr>
          <w:rFonts w:ascii="Arial" w:eastAsia="Times New Roman" w:hAnsi="Arial" w:cs="Arial"/>
          <w:b/>
          <w:sz w:val="23"/>
          <w:szCs w:val="23"/>
          <w:lang w:eastAsia="hr-HR"/>
        </w:rPr>
        <w:t xml:space="preserve">Grafikon </w:t>
      </w:r>
      <w:r w:rsidR="00B31DBA" w:rsidRPr="00A17B6F">
        <w:rPr>
          <w:rFonts w:ascii="Arial" w:eastAsia="Times New Roman" w:hAnsi="Arial" w:cs="Arial"/>
          <w:b/>
          <w:sz w:val="23"/>
          <w:szCs w:val="23"/>
          <w:lang w:eastAsia="hr-HR"/>
        </w:rPr>
        <w:t>1</w:t>
      </w:r>
      <w:r w:rsidRPr="00A17B6F">
        <w:rPr>
          <w:rFonts w:ascii="Arial" w:eastAsia="Times New Roman" w:hAnsi="Arial" w:cs="Arial"/>
          <w:b/>
          <w:sz w:val="23"/>
          <w:szCs w:val="23"/>
          <w:lang w:eastAsia="hr-HR"/>
        </w:rPr>
        <w:t xml:space="preserve">.: </w:t>
      </w:r>
      <w:r w:rsidRPr="00A17B6F">
        <w:rPr>
          <w:rFonts w:ascii="Arial" w:eastAsia="Times New Roman" w:hAnsi="Arial" w:cs="Arial"/>
          <w:sz w:val="23"/>
          <w:szCs w:val="23"/>
          <w:lang w:eastAsia="hr-HR"/>
        </w:rPr>
        <w:t>Planirani</w:t>
      </w:r>
      <w:r w:rsidRPr="00A17B6F">
        <w:rPr>
          <w:rFonts w:ascii="Arial" w:eastAsia="Times New Roman" w:hAnsi="Arial" w:cs="Arial"/>
          <w:lang w:eastAsia="hr-HR"/>
        </w:rPr>
        <w:t xml:space="preserve"> </w:t>
      </w:r>
      <w:r w:rsidRPr="00A17B6F">
        <w:rPr>
          <w:rFonts w:ascii="Arial" w:eastAsia="Times New Roman" w:hAnsi="Arial" w:cs="Arial"/>
          <w:sz w:val="23"/>
          <w:szCs w:val="23"/>
          <w:lang w:eastAsia="hr-HR"/>
        </w:rPr>
        <w:t>i</w:t>
      </w:r>
      <w:r w:rsidRPr="00A17B6F">
        <w:rPr>
          <w:rFonts w:ascii="Arial" w:eastAsia="Times New Roman" w:hAnsi="Arial" w:cs="Arial"/>
          <w:lang w:eastAsia="hr-HR"/>
        </w:rPr>
        <w:t xml:space="preserve"> </w:t>
      </w:r>
      <w:r w:rsidRPr="00A17B6F">
        <w:rPr>
          <w:rFonts w:ascii="Arial" w:eastAsia="Times New Roman" w:hAnsi="Arial" w:cs="Arial"/>
          <w:sz w:val="23"/>
          <w:szCs w:val="23"/>
          <w:lang w:eastAsia="hr-HR"/>
        </w:rPr>
        <w:t>ostvareni</w:t>
      </w:r>
      <w:r w:rsidRPr="00A17B6F">
        <w:rPr>
          <w:rFonts w:ascii="Arial" w:eastAsia="Times New Roman" w:hAnsi="Arial" w:cs="Arial"/>
          <w:lang w:eastAsia="hr-HR"/>
        </w:rPr>
        <w:t xml:space="preserve"> </w:t>
      </w:r>
      <w:r w:rsidRPr="00A17B6F">
        <w:rPr>
          <w:rFonts w:ascii="Arial" w:eastAsia="Times New Roman" w:hAnsi="Arial" w:cs="Arial"/>
          <w:sz w:val="23"/>
          <w:szCs w:val="23"/>
          <w:lang w:eastAsia="hr-HR"/>
        </w:rPr>
        <w:t>prihodi</w:t>
      </w:r>
      <w:r w:rsidRPr="00A17B6F">
        <w:rPr>
          <w:rFonts w:ascii="Arial" w:eastAsia="Times New Roman" w:hAnsi="Arial" w:cs="Arial"/>
          <w:lang w:eastAsia="hr-HR"/>
        </w:rPr>
        <w:t xml:space="preserve"> </w:t>
      </w:r>
      <w:r w:rsidRPr="00A17B6F">
        <w:rPr>
          <w:rFonts w:ascii="Arial" w:eastAsia="Times New Roman" w:hAnsi="Arial" w:cs="Arial"/>
          <w:sz w:val="23"/>
          <w:szCs w:val="23"/>
          <w:lang w:eastAsia="hr-HR"/>
        </w:rPr>
        <w:t>i</w:t>
      </w:r>
      <w:r w:rsidRPr="00A17B6F">
        <w:rPr>
          <w:rFonts w:ascii="Arial" w:eastAsia="Times New Roman" w:hAnsi="Arial" w:cs="Arial"/>
          <w:lang w:eastAsia="hr-HR"/>
        </w:rPr>
        <w:t xml:space="preserve"> </w:t>
      </w:r>
      <w:r w:rsidRPr="00A17B6F">
        <w:rPr>
          <w:rFonts w:ascii="Arial" w:eastAsia="Times New Roman" w:hAnsi="Arial" w:cs="Arial"/>
          <w:sz w:val="23"/>
          <w:szCs w:val="23"/>
          <w:lang w:eastAsia="hr-HR"/>
        </w:rPr>
        <w:t>primici</w:t>
      </w:r>
      <w:r w:rsidRPr="00A17B6F">
        <w:rPr>
          <w:rFonts w:ascii="Arial" w:eastAsia="Times New Roman" w:hAnsi="Arial" w:cs="Arial"/>
          <w:lang w:eastAsia="hr-HR"/>
        </w:rPr>
        <w:t xml:space="preserve"> </w:t>
      </w:r>
      <w:r w:rsidR="00CA48BE" w:rsidRPr="00A17B6F">
        <w:rPr>
          <w:rFonts w:ascii="Arial" w:eastAsia="Times New Roman" w:hAnsi="Arial" w:cs="Arial"/>
          <w:lang w:eastAsia="hr-HR"/>
        </w:rPr>
        <w:t>konsolidi</w:t>
      </w:r>
      <w:r w:rsidR="009E2369" w:rsidRPr="00A17B6F">
        <w:rPr>
          <w:rFonts w:ascii="Arial" w:eastAsia="Times New Roman" w:hAnsi="Arial" w:cs="Arial"/>
          <w:lang w:eastAsia="hr-HR"/>
        </w:rPr>
        <w:t>r</w:t>
      </w:r>
      <w:r w:rsidR="00CA48BE" w:rsidRPr="00A17B6F">
        <w:rPr>
          <w:rFonts w:ascii="Arial" w:eastAsia="Times New Roman" w:hAnsi="Arial" w:cs="Arial"/>
          <w:lang w:eastAsia="hr-HR"/>
        </w:rPr>
        <w:t xml:space="preserve">anog </w:t>
      </w:r>
      <w:r w:rsidR="009E2369" w:rsidRPr="00A17B6F">
        <w:rPr>
          <w:rFonts w:ascii="Arial" w:eastAsia="Times New Roman" w:hAnsi="Arial" w:cs="Arial"/>
          <w:lang w:eastAsia="hr-HR"/>
        </w:rPr>
        <w:t xml:space="preserve">proračuna </w:t>
      </w:r>
      <w:r w:rsidR="009B4DFA" w:rsidRPr="00A17B6F">
        <w:rPr>
          <w:rFonts w:ascii="Arial" w:eastAsia="Times New Roman" w:hAnsi="Arial" w:cs="Arial"/>
          <w:sz w:val="23"/>
          <w:szCs w:val="23"/>
          <w:lang w:eastAsia="hr-HR"/>
        </w:rPr>
        <w:t>PGŽ</w:t>
      </w:r>
      <w:r w:rsidRPr="00A17B6F">
        <w:rPr>
          <w:rFonts w:ascii="Arial" w:eastAsia="Times New Roman" w:hAnsi="Arial" w:cs="Arial"/>
          <w:lang w:eastAsia="hr-HR"/>
        </w:rPr>
        <w:t xml:space="preserve"> </w:t>
      </w:r>
      <w:r w:rsidR="002C7AEB" w:rsidRPr="00A17B6F">
        <w:rPr>
          <w:rFonts w:ascii="Arial" w:eastAsia="Times New Roman" w:hAnsi="Arial" w:cs="Arial"/>
          <w:sz w:val="23"/>
          <w:szCs w:val="23"/>
          <w:lang w:eastAsia="hr-HR"/>
        </w:rPr>
        <w:t>u prvom polugodištu 202</w:t>
      </w:r>
      <w:r w:rsidR="00D10805" w:rsidRPr="00A17B6F">
        <w:rPr>
          <w:rFonts w:ascii="Arial" w:eastAsia="Times New Roman" w:hAnsi="Arial" w:cs="Arial"/>
          <w:sz w:val="23"/>
          <w:szCs w:val="23"/>
          <w:lang w:eastAsia="hr-HR"/>
        </w:rPr>
        <w:t>4</w:t>
      </w:r>
      <w:r w:rsidR="002C7AEB" w:rsidRPr="00A17B6F">
        <w:rPr>
          <w:rFonts w:ascii="Arial" w:eastAsia="Times New Roman" w:hAnsi="Arial" w:cs="Arial"/>
          <w:sz w:val="23"/>
          <w:szCs w:val="23"/>
          <w:lang w:eastAsia="hr-HR"/>
        </w:rPr>
        <w:t>. godine</w:t>
      </w:r>
      <w:r w:rsidR="002E4B49" w:rsidRPr="00A17B6F">
        <w:rPr>
          <w:rFonts w:ascii="Arial" w:eastAsia="Times New Roman" w:hAnsi="Arial" w:cs="Arial"/>
          <w:sz w:val="23"/>
          <w:szCs w:val="23"/>
          <w:lang w:eastAsia="hr-HR"/>
        </w:rPr>
        <w:t xml:space="preserve"> i usporedba s ostvarenjem prethodne godine</w:t>
      </w:r>
    </w:p>
    <w:p w14:paraId="15016C7E" w14:textId="3E7CDC77" w:rsidR="007C6E0C" w:rsidRPr="00BC1CA7" w:rsidRDefault="007C6E0C" w:rsidP="00087289">
      <w:pPr>
        <w:spacing w:after="0" w:line="240" w:lineRule="auto"/>
        <w:ind w:left="1440" w:right="72" w:hanging="1440"/>
        <w:rPr>
          <w:rFonts w:ascii="Arial" w:eastAsia="Times New Roman" w:hAnsi="Arial" w:cs="Arial"/>
          <w:sz w:val="8"/>
          <w:szCs w:val="8"/>
          <w:lang w:eastAsia="hr-HR"/>
        </w:rPr>
      </w:pPr>
    </w:p>
    <w:p w14:paraId="57229167" w14:textId="52D0081A" w:rsidR="00D10805" w:rsidRPr="00A17B6F" w:rsidRDefault="00D10805" w:rsidP="00087289">
      <w:pPr>
        <w:spacing w:after="0" w:line="240" w:lineRule="auto"/>
        <w:ind w:left="1440" w:right="72" w:hanging="1440"/>
        <w:rPr>
          <w:rFonts w:ascii="Arial" w:eastAsia="Times New Roman" w:hAnsi="Arial" w:cs="Arial"/>
          <w:sz w:val="23"/>
          <w:szCs w:val="23"/>
          <w:lang w:eastAsia="hr-HR"/>
        </w:rPr>
      </w:pPr>
      <w:r w:rsidRPr="00A17B6F">
        <w:rPr>
          <w:rFonts w:ascii="Arial" w:eastAsia="Times New Roman" w:hAnsi="Arial" w:cs="Arial"/>
          <w:noProof/>
          <w:sz w:val="23"/>
          <w:szCs w:val="23"/>
          <w:lang w:eastAsia="hr-HR"/>
        </w:rPr>
        <w:drawing>
          <wp:inline distT="0" distB="0" distL="0" distR="0" wp14:anchorId="1F2D6D3C" wp14:editId="568E6C56">
            <wp:extent cx="6558841" cy="3446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1907" cy="3458179"/>
                    </a:xfrm>
                    <a:prstGeom prst="rect">
                      <a:avLst/>
                    </a:prstGeom>
                    <a:noFill/>
                  </pic:spPr>
                </pic:pic>
              </a:graphicData>
            </a:graphic>
          </wp:inline>
        </w:drawing>
      </w:r>
    </w:p>
    <w:p w14:paraId="60879B11" w14:textId="67134A05" w:rsidR="00087289" w:rsidRPr="00A17B6F" w:rsidRDefault="00BC1CA7" w:rsidP="00087289">
      <w:pPr>
        <w:spacing w:after="0" w:line="240" w:lineRule="auto"/>
        <w:ind w:right="72"/>
        <w:jc w:val="both"/>
        <w:rPr>
          <w:rFonts w:ascii="Arial" w:eastAsia="Times New Roman" w:hAnsi="Arial" w:cs="Arial"/>
          <w:i/>
          <w:iCs/>
          <w:sz w:val="20"/>
          <w:szCs w:val="20"/>
          <w:lang w:eastAsia="hr-HR"/>
        </w:rPr>
      </w:pPr>
      <w:r>
        <w:rPr>
          <w:rFonts w:ascii="Arial" w:eastAsia="Times New Roman" w:hAnsi="Arial" w:cs="Arial"/>
          <w:b/>
          <w:iCs/>
          <w:sz w:val="20"/>
          <w:szCs w:val="20"/>
          <w:lang w:eastAsia="hr-HR"/>
        </w:rPr>
        <w:t>N</w:t>
      </w:r>
      <w:r w:rsidR="00087289" w:rsidRPr="00A17B6F">
        <w:rPr>
          <w:rFonts w:ascii="Arial" w:eastAsia="Times New Roman" w:hAnsi="Arial" w:cs="Arial"/>
          <w:b/>
          <w:iCs/>
          <w:sz w:val="20"/>
          <w:szCs w:val="20"/>
          <w:lang w:eastAsia="hr-HR"/>
        </w:rPr>
        <w:t>apomena:</w:t>
      </w:r>
      <w:r w:rsidR="00087289" w:rsidRPr="00A17B6F">
        <w:rPr>
          <w:rFonts w:ascii="Arial" w:eastAsia="Times New Roman" w:hAnsi="Arial" w:cs="Arial"/>
          <w:iCs/>
          <w:sz w:val="20"/>
          <w:szCs w:val="20"/>
          <w:lang w:eastAsia="hr-HR"/>
        </w:rPr>
        <w:t xml:space="preserve"> </w:t>
      </w:r>
      <w:r w:rsidR="00087289" w:rsidRPr="00A17B6F">
        <w:rPr>
          <w:rFonts w:ascii="Arial" w:eastAsia="Times New Roman" w:hAnsi="Arial" w:cs="Arial"/>
          <w:i/>
          <w:iCs/>
          <w:sz w:val="20"/>
          <w:szCs w:val="20"/>
          <w:lang w:eastAsia="hr-HR"/>
        </w:rPr>
        <w:t>Prihod za decentralizirane funkcije sastoji se od prihoda od ustupljene stope poreza na dohodak iz skupine 61 - Prihod</w:t>
      </w:r>
      <w:r w:rsidR="00F75C5C" w:rsidRPr="00A17B6F">
        <w:rPr>
          <w:rFonts w:ascii="Arial" w:eastAsia="Times New Roman" w:hAnsi="Arial" w:cs="Arial"/>
          <w:i/>
          <w:iCs/>
          <w:sz w:val="20"/>
          <w:szCs w:val="20"/>
          <w:lang w:eastAsia="hr-HR"/>
        </w:rPr>
        <w:t xml:space="preserve">i od poreza i prihoda od pomoći </w:t>
      </w:r>
      <w:r w:rsidR="00087289" w:rsidRPr="00A17B6F">
        <w:rPr>
          <w:rFonts w:ascii="Arial" w:eastAsia="Times New Roman" w:hAnsi="Arial" w:cs="Arial"/>
          <w:i/>
          <w:iCs/>
          <w:sz w:val="20"/>
          <w:szCs w:val="20"/>
          <w:lang w:eastAsia="hr-HR"/>
        </w:rPr>
        <w:t>izravnanja za decentralizirane funkcije</w:t>
      </w:r>
      <w:r w:rsidR="00F75C5C" w:rsidRPr="00A17B6F">
        <w:rPr>
          <w:rFonts w:ascii="Arial" w:eastAsia="Times New Roman" w:hAnsi="Arial" w:cs="Arial"/>
          <w:i/>
          <w:iCs/>
          <w:sz w:val="20"/>
          <w:szCs w:val="20"/>
          <w:lang w:eastAsia="hr-HR"/>
        </w:rPr>
        <w:t xml:space="preserve"> (podskupina 635)</w:t>
      </w:r>
      <w:r w:rsidR="00087289" w:rsidRPr="00A17B6F">
        <w:rPr>
          <w:rFonts w:ascii="Arial" w:eastAsia="Times New Roman" w:hAnsi="Arial" w:cs="Arial"/>
          <w:i/>
          <w:iCs/>
          <w:sz w:val="20"/>
          <w:szCs w:val="20"/>
          <w:lang w:eastAsia="hr-HR"/>
        </w:rPr>
        <w:t xml:space="preserve"> iz skupine 63 - Pomoći. Navedene skupine prikazane su umanjene za iznose sredstva za decentralizaciju</w:t>
      </w:r>
      <w:r w:rsidR="009B4DFA" w:rsidRPr="00A17B6F">
        <w:rPr>
          <w:rFonts w:ascii="Arial" w:eastAsia="Times New Roman" w:hAnsi="Arial" w:cs="Arial"/>
          <w:i/>
          <w:iCs/>
          <w:sz w:val="20"/>
          <w:szCs w:val="20"/>
          <w:lang w:eastAsia="hr-HR"/>
        </w:rPr>
        <w:t>.</w:t>
      </w:r>
    </w:p>
    <w:p w14:paraId="72856AF2" w14:textId="6A0B8E29" w:rsidR="00F75C5C" w:rsidRDefault="00F75C5C" w:rsidP="00966DDB">
      <w:pPr>
        <w:spacing w:after="0" w:line="240" w:lineRule="auto"/>
        <w:jc w:val="both"/>
        <w:rPr>
          <w:rFonts w:ascii="Arial" w:eastAsia="Times New Roman" w:hAnsi="Arial" w:cs="Times New Roman"/>
          <w:b/>
          <w:sz w:val="23"/>
          <w:szCs w:val="24"/>
          <w:u w:val="single"/>
          <w:lang w:eastAsia="hr-HR"/>
        </w:rPr>
      </w:pPr>
    </w:p>
    <w:p w14:paraId="5859ADC2" w14:textId="036BD6C7" w:rsidR="00BC1CA7" w:rsidRDefault="00BC1CA7" w:rsidP="00966DDB">
      <w:pPr>
        <w:spacing w:after="0" w:line="240" w:lineRule="auto"/>
        <w:jc w:val="both"/>
        <w:rPr>
          <w:rFonts w:ascii="Arial" w:eastAsia="Times New Roman" w:hAnsi="Arial" w:cs="Times New Roman"/>
          <w:b/>
          <w:sz w:val="23"/>
          <w:szCs w:val="24"/>
          <w:u w:val="single"/>
          <w:lang w:eastAsia="hr-HR"/>
        </w:rPr>
      </w:pPr>
    </w:p>
    <w:p w14:paraId="5B1B47F7" w14:textId="77777777" w:rsidR="00BC1CA7" w:rsidRPr="00A17B6F" w:rsidRDefault="00BC1CA7" w:rsidP="00966DDB">
      <w:pPr>
        <w:spacing w:after="0" w:line="240" w:lineRule="auto"/>
        <w:jc w:val="both"/>
        <w:rPr>
          <w:rFonts w:ascii="Arial" w:eastAsia="Times New Roman" w:hAnsi="Arial" w:cs="Times New Roman"/>
          <w:b/>
          <w:sz w:val="23"/>
          <w:szCs w:val="24"/>
          <w:u w:val="single"/>
          <w:lang w:eastAsia="hr-HR"/>
        </w:rPr>
      </w:pPr>
    </w:p>
    <w:p w14:paraId="13844A5D" w14:textId="5307EFC0" w:rsidR="00966DDB" w:rsidRPr="00A17B6F" w:rsidRDefault="00966DDB" w:rsidP="00966DDB">
      <w:pPr>
        <w:spacing w:after="0" w:line="240" w:lineRule="auto"/>
        <w:jc w:val="both"/>
        <w:rPr>
          <w:rFonts w:ascii="Arial" w:eastAsia="Times New Roman" w:hAnsi="Arial" w:cs="Times New Roman"/>
          <w:b/>
          <w:sz w:val="23"/>
          <w:szCs w:val="24"/>
          <w:u w:val="single"/>
          <w:lang w:eastAsia="hr-HR"/>
        </w:rPr>
      </w:pPr>
      <w:r w:rsidRPr="00A17B6F">
        <w:rPr>
          <w:rFonts w:ascii="Arial" w:eastAsia="Times New Roman" w:hAnsi="Arial" w:cs="Times New Roman"/>
          <w:b/>
          <w:sz w:val="23"/>
          <w:szCs w:val="24"/>
          <w:u w:val="single"/>
          <w:lang w:eastAsia="hr-HR"/>
        </w:rPr>
        <w:lastRenderedPageBreak/>
        <w:t>Prihodi poslovanja</w:t>
      </w:r>
    </w:p>
    <w:p w14:paraId="55259598" w14:textId="77777777" w:rsidR="00966DDB" w:rsidRPr="00A17B6F" w:rsidRDefault="00966DDB" w:rsidP="00966DDB">
      <w:pPr>
        <w:spacing w:after="0" w:line="240" w:lineRule="auto"/>
        <w:ind w:firstLine="1440"/>
        <w:jc w:val="both"/>
        <w:rPr>
          <w:rFonts w:ascii="Arial" w:eastAsia="Times New Roman" w:hAnsi="Arial" w:cs="Arial"/>
          <w:sz w:val="24"/>
          <w:szCs w:val="24"/>
          <w:lang w:eastAsia="hr-HR"/>
        </w:rPr>
      </w:pPr>
    </w:p>
    <w:p w14:paraId="1DE8D0D2" w14:textId="1B07AE20" w:rsidR="00966DDB" w:rsidRPr="00A17B6F" w:rsidRDefault="00966DDB" w:rsidP="00966DDB">
      <w:pPr>
        <w:spacing w:after="120" w:line="240" w:lineRule="auto"/>
        <w:ind w:firstLine="357"/>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Ukupno ostvareni </w:t>
      </w:r>
      <w:r w:rsidRPr="00A17B6F">
        <w:rPr>
          <w:rFonts w:ascii="Arial" w:eastAsia="Times New Roman" w:hAnsi="Arial" w:cs="Arial"/>
          <w:b/>
          <w:sz w:val="24"/>
          <w:szCs w:val="24"/>
          <w:lang w:eastAsia="hr-HR"/>
        </w:rPr>
        <w:t>prihodi poslovanja</w:t>
      </w:r>
      <w:r w:rsidRPr="00A17B6F">
        <w:rPr>
          <w:rFonts w:ascii="Arial" w:eastAsia="Times New Roman" w:hAnsi="Arial" w:cs="Arial"/>
          <w:sz w:val="24"/>
          <w:szCs w:val="24"/>
          <w:lang w:eastAsia="hr-HR"/>
        </w:rPr>
        <w:t xml:space="preserve"> u prvom polugodištu 202</w:t>
      </w:r>
      <w:r w:rsidR="004C1BF0"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iznose </w:t>
      </w:r>
      <w:r w:rsidR="004C1BF0" w:rsidRPr="00A17B6F">
        <w:rPr>
          <w:rFonts w:ascii="Arial" w:eastAsia="Times New Roman" w:hAnsi="Arial" w:cs="Arial"/>
          <w:sz w:val="24"/>
          <w:szCs w:val="24"/>
          <w:lang w:eastAsia="hr-HR"/>
        </w:rPr>
        <w:t>132.992.708,15</w:t>
      </w:r>
      <w:r w:rsidR="00F75C5C" w:rsidRPr="00A17B6F">
        <w:rPr>
          <w:rFonts w:ascii="Arial" w:eastAsia="Times New Roman" w:hAnsi="Arial" w:cs="Arial"/>
          <w:sz w:val="24"/>
          <w:szCs w:val="24"/>
          <w:lang w:eastAsia="hr-HR"/>
        </w:rPr>
        <w:t xml:space="preserve"> eur</w:t>
      </w:r>
      <w:r w:rsidR="003408F0" w:rsidRPr="00A17B6F">
        <w:rPr>
          <w:rFonts w:ascii="Arial" w:eastAsia="Times New Roman" w:hAnsi="Arial" w:cs="Arial"/>
          <w:sz w:val="24"/>
          <w:szCs w:val="24"/>
          <w:lang w:eastAsia="hr-HR"/>
        </w:rPr>
        <w:t>o</w:t>
      </w:r>
      <w:r w:rsidRPr="00A17B6F">
        <w:rPr>
          <w:rFonts w:ascii="Arial" w:eastAsia="Times New Roman" w:hAnsi="Arial" w:cs="Arial"/>
          <w:sz w:val="24"/>
          <w:szCs w:val="24"/>
          <w:lang w:eastAsia="hr-HR"/>
        </w:rPr>
        <w:t xml:space="preserve"> što je </w:t>
      </w:r>
      <w:r w:rsidR="004C1BF0" w:rsidRPr="00A17B6F">
        <w:rPr>
          <w:rFonts w:ascii="Arial" w:eastAsia="Times New Roman" w:hAnsi="Arial" w:cs="Arial"/>
          <w:sz w:val="24"/>
          <w:szCs w:val="24"/>
          <w:lang w:eastAsia="hr-HR"/>
        </w:rPr>
        <w:t>47,48</w:t>
      </w:r>
      <w:r w:rsidRPr="00A17B6F">
        <w:rPr>
          <w:rFonts w:ascii="Arial" w:eastAsia="Times New Roman" w:hAnsi="Arial" w:cs="Arial"/>
          <w:sz w:val="24"/>
          <w:szCs w:val="24"/>
          <w:lang w:eastAsia="hr-HR"/>
        </w:rPr>
        <w:t xml:space="preserve">% godišnjeg plana. Od navedenog iznosa </w:t>
      </w:r>
      <w:r w:rsidR="004C1BF0" w:rsidRPr="00A17B6F">
        <w:rPr>
          <w:rFonts w:ascii="Arial" w:eastAsia="Times New Roman" w:hAnsi="Arial" w:cs="Arial"/>
          <w:sz w:val="24"/>
          <w:szCs w:val="24"/>
          <w:lang w:eastAsia="hr-HR"/>
        </w:rPr>
        <w:t>36.998.988,64</w:t>
      </w:r>
      <w:r w:rsidR="00F75C5C"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se odnosi na prihode poslovanja iz vlastitih izvora Županije, dok se </w:t>
      </w:r>
      <w:r w:rsidR="004C1BF0" w:rsidRPr="00A17B6F">
        <w:rPr>
          <w:rFonts w:ascii="Arial" w:eastAsia="Times New Roman" w:hAnsi="Arial" w:cs="Arial"/>
          <w:sz w:val="24"/>
          <w:szCs w:val="24"/>
          <w:lang w:eastAsia="hr-HR"/>
        </w:rPr>
        <w:t>95.993.719,51</w:t>
      </w:r>
      <w:r w:rsidR="00F75C5C"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odnosi na vlastite i namjenske prihode</w:t>
      </w:r>
      <w:r w:rsidR="00F75C5C" w:rsidRPr="00A17B6F">
        <w:rPr>
          <w:rFonts w:ascii="Arial" w:eastAsia="Times New Roman" w:hAnsi="Arial" w:cs="Arial"/>
          <w:sz w:val="24"/>
          <w:szCs w:val="24"/>
          <w:lang w:eastAsia="hr-HR"/>
        </w:rPr>
        <w:t xml:space="preserve"> poslovanja</w:t>
      </w:r>
      <w:r w:rsidRPr="00A17B6F">
        <w:rPr>
          <w:rFonts w:ascii="Arial" w:eastAsia="Times New Roman" w:hAnsi="Arial" w:cs="Arial"/>
          <w:sz w:val="24"/>
          <w:szCs w:val="24"/>
          <w:lang w:eastAsia="hr-HR"/>
        </w:rPr>
        <w:t xml:space="preserve"> proračunskih korisnika. Ukupno ostvareni prihodi poslovanja u prvoj polovici 202</w:t>
      </w:r>
      <w:r w:rsidR="004C1BF0"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su za </w:t>
      </w:r>
      <w:r w:rsidR="004C1BF0" w:rsidRPr="00A17B6F">
        <w:rPr>
          <w:rFonts w:ascii="Arial" w:eastAsia="Times New Roman" w:hAnsi="Arial" w:cs="Arial"/>
          <w:sz w:val="24"/>
          <w:szCs w:val="24"/>
          <w:lang w:eastAsia="hr-HR"/>
        </w:rPr>
        <w:t>30.902.556,34</w:t>
      </w:r>
      <w:r w:rsidR="00F75C5C"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4C1BF0" w:rsidRPr="00A17B6F">
        <w:rPr>
          <w:rFonts w:ascii="Arial" w:eastAsia="Times New Roman" w:hAnsi="Arial" w:cs="Arial"/>
          <w:sz w:val="24"/>
          <w:szCs w:val="24"/>
          <w:lang w:eastAsia="hr-HR"/>
        </w:rPr>
        <w:t>30,27</w:t>
      </w:r>
      <w:r w:rsidRPr="00A17B6F">
        <w:rPr>
          <w:rFonts w:ascii="Arial" w:eastAsia="Times New Roman" w:hAnsi="Arial" w:cs="Arial"/>
          <w:sz w:val="24"/>
          <w:szCs w:val="24"/>
          <w:lang w:eastAsia="hr-HR"/>
        </w:rPr>
        <w:t>% veći u odnosu na isto razdoblje 202</w:t>
      </w:r>
      <w:r w:rsidR="004C1BF0" w:rsidRPr="00A17B6F">
        <w:rPr>
          <w:rFonts w:ascii="Arial" w:eastAsia="Times New Roman" w:hAnsi="Arial" w:cs="Arial"/>
          <w:sz w:val="24"/>
          <w:szCs w:val="24"/>
          <w:lang w:eastAsia="hr-HR"/>
        </w:rPr>
        <w:t>3</w:t>
      </w:r>
      <w:r w:rsidRPr="00A17B6F">
        <w:rPr>
          <w:rFonts w:ascii="Arial" w:eastAsia="Times New Roman" w:hAnsi="Arial" w:cs="Arial"/>
          <w:sz w:val="24"/>
          <w:szCs w:val="24"/>
          <w:lang w:eastAsia="hr-HR"/>
        </w:rPr>
        <w:t>. godine</w:t>
      </w:r>
      <w:r w:rsidR="00F75C5C" w:rsidRPr="00A17B6F">
        <w:rPr>
          <w:rFonts w:ascii="Arial" w:eastAsia="Times New Roman" w:hAnsi="Arial" w:cs="Arial"/>
          <w:sz w:val="24"/>
          <w:szCs w:val="24"/>
          <w:lang w:eastAsia="hr-HR"/>
        </w:rPr>
        <w:t>.</w:t>
      </w:r>
      <w:r w:rsidRPr="00A17B6F">
        <w:rPr>
          <w:rFonts w:ascii="Arial" w:eastAsia="Times New Roman" w:hAnsi="Arial" w:cs="Arial"/>
          <w:sz w:val="24"/>
          <w:szCs w:val="24"/>
          <w:lang w:eastAsia="hr-HR"/>
        </w:rPr>
        <w:t xml:space="preserve">  </w:t>
      </w:r>
    </w:p>
    <w:p w14:paraId="079FD1A6" w14:textId="19F1B4C7" w:rsidR="00966DDB" w:rsidRPr="00A17B6F" w:rsidRDefault="00966DDB" w:rsidP="00966DDB">
      <w:pPr>
        <w:spacing w:after="120" w:line="240" w:lineRule="auto"/>
        <w:ind w:firstLine="357"/>
        <w:jc w:val="both"/>
        <w:rPr>
          <w:rFonts w:ascii="Arial" w:eastAsia="Times New Roman" w:hAnsi="Arial" w:cs="Arial"/>
          <w:sz w:val="24"/>
          <w:szCs w:val="24"/>
          <w:lang w:eastAsia="hr-HR"/>
        </w:rPr>
      </w:pPr>
      <w:r w:rsidRPr="00A17B6F">
        <w:rPr>
          <w:rFonts w:ascii="Arial" w:eastAsia="Times New Roman" w:hAnsi="Arial" w:cs="Arial"/>
          <w:b/>
          <w:sz w:val="24"/>
          <w:szCs w:val="24"/>
          <w:lang w:eastAsia="hr-HR"/>
        </w:rPr>
        <w:t>Porezni prihodi</w:t>
      </w:r>
      <w:r w:rsidRPr="00A17B6F">
        <w:rPr>
          <w:rFonts w:ascii="Arial" w:eastAsia="Times New Roman" w:hAnsi="Arial" w:cs="Arial"/>
          <w:sz w:val="24"/>
          <w:szCs w:val="24"/>
          <w:lang w:eastAsia="hr-HR"/>
        </w:rPr>
        <w:t xml:space="preserve"> su isključivo prihodi Županije, odnosno proračunski korisnici ih ne ostvaruju i u prvom polugodištu 202</w:t>
      </w:r>
      <w:r w:rsidR="00E14477"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su naplaćeni u ukupnom iznosu od </w:t>
      </w:r>
      <w:r w:rsidR="00E14477" w:rsidRPr="00A17B6F">
        <w:rPr>
          <w:rFonts w:ascii="Arial" w:eastAsia="Times New Roman" w:hAnsi="Arial" w:cs="Arial"/>
          <w:sz w:val="24"/>
          <w:szCs w:val="24"/>
          <w:lang w:eastAsia="hr-HR"/>
        </w:rPr>
        <w:t>28.915.302,75</w:t>
      </w:r>
      <w:r w:rsidR="00F75C5C"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što je za </w:t>
      </w:r>
      <w:r w:rsidR="00E14477" w:rsidRPr="00A17B6F">
        <w:rPr>
          <w:rFonts w:ascii="Arial" w:eastAsia="Times New Roman" w:hAnsi="Arial" w:cs="Arial"/>
          <w:sz w:val="24"/>
          <w:szCs w:val="24"/>
          <w:lang w:eastAsia="hr-HR"/>
        </w:rPr>
        <w:t>7.751.455,69</w:t>
      </w:r>
      <w:r w:rsidR="00F75C5C"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E14477" w:rsidRPr="00A17B6F">
        <w:rPr>
          <w:rFonts w:ascii="Arial" w:eastAsia="Times New Roman" w:hAnsi="Arial" w:cs="Arial"/>
          <w:sz w:val="24"/>
          <w:szCs w:val="24"/>
          <w:lang w:eastAsia="hr-HR"/>
        </w:rPr>
        <w:t>36,63</w:t>
      </w:r>
      <w:r w:rsidRPr="00A17B6F">
        <w:rPr>
          <w:rFonts w:ascii="Arial" w:eastAsia="Times New Roman" w:hAnsi="Arial" w:cs="Arial"/>
          <w:sz w:val="24"/>
          <w:szCs w:val="24"/>
          <w:lang w:eastAsia="hr-HR"/>
        </w:rPr>
        <w:t xml:space="preserve">% više u odnosu na </w:t>
      </w:r>
      <w:r w:rsidR="00175D0B" w:rsidRPr="00A17B6F">
        <w:rPr>
          <w:rFonts w:ascii="Arial" w:eastAsia="Times New Roman" w:hAnsi="Arial" w:cs="Arial"/>
          <w:sz w:val="24"/>
          <w:szCs w:val="24"/>
          <w:lang w:eastAsia="hr-HR"/>
        </w:rPr>
        <w:t>isto</w:t>
      </w:r>
      <w:r w:rsidR="00F75C5C" w:rsidRPr="00A17B6F">
        <w:rPr>
          <w:rFonts w:ascii="Arial" w:eastAsia="Times New Roman" w:hAnsi="Arial" w:cs="Arial"/>
          <w:sz w:val="24"/>
          <w:szCs w:val="24"/>
          <w:lang w:eastAsia="hr-HR"/>
        </w:rPr>
        <w:t xml:space="preserve"> razdoblje </w:t>
      </w:r>
      <w:r w:rsidRPr="00A17B6F">
        <w:rPr>
          <w:rFonts w:ascii="Arial" w:eastAsia="Times New Roman" w:hAnsi="Arial" w:cs="Arial"/>
          <w:sz w:val="24"/>
          <w:szCs w:val="24"/>
          <w:lang w:eastAsia="hr-HR"/>
        </w:rPr>
        <w:t>prethodn</w:t>
      </w:r>
      <w:r w:rsidR="00175D0B" w:rsidRPr="00A17B6F">
        <w:rPr>
          <w:rFonts w:ascii="Arial" w:eastAsia="Times New Roman" w:hAnsi="Arial" w:cs="Arial"/>
          <w:sz w:val="24"/>
          <w:szCs w:val="24"/>
          <w:lang w:eastAsia="hr-HR"/>
        </w:rPr>
        <w:t>e</w:t>
      </w:r>
      <w:r w:rsidRPr="00A17B6F">
        <w:rPr>
          <w:rFonts w:ascii="Arial" w:eastAsia="Times New Roman" w:hAnsi="Arial" w:cs="Arial"/>
          <w:sz w:val="24"/>
          <w:szCs w:val="24"/>
          <w:lang w:eastAsia="hr-HR"/>
        </w:rPr>
        <w:t xml:space="preserve"> godinu. </w:t>
      </w:r>
    </w:p>
    <w:p w14:paraId="193A7A1D" w14:textId="7DAFDF8F" w:rsidR="00966DDB" w:rsidRPr="00A17B6F" w:rsidRDefault="00966DDB" w:rsidP="00966DDB">
      <w:pPr>
        <w:spacing w:after="120" w:line="240" w:lineRule="auto"/>
        <w:ind w:firstLine="357"/>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U ukupnim poreznim prihodima, ali i na razini ukupnih prihoda i primitaka Županije, </w:t>
      </w:r>
      <w:r w:rsidRPr="00A17B6F">
        <w:rPr>
          <w:rFonts w:ascii="Arial" w:eastAsia="Times New Roman" w:hAnsi="Arial" w:cs="Arial"/>
          <w:b/>
          <w:i/>
          <w:sz w:val="24"/>
          <w:szCs w:val="24"/>
          <w:lang w:eastAsia="hr-HR"/>
        </w:rPr>
        <w:t>prihod od poreza na dohodak</w:t>
      </w:r>
      <w:r w:rsidRPr="00A17B6F">
        <w:rPr>
          <w:rFonts w:ascii="Arial" w:eastAsia="Times New Roman" w:hAnsi="Arial" w:cs="Arial"/>
          <w:sz w:val="24"/>
          <w:szCs w:val="24"/>
          <w:lang w:eastAsia="hr-HR"/>
        </w:rPr>
        <w:t xml:space="preserve"> predstavlja najizdašniji prihod i u ovom izvještajnom razdoblju naplaćen je u iznosu od </w:t>
      </w:r>
      <w:r w:rsidR="00E14477" w:rsidRPr="00A17B6F">
        <w:rPr>
          <w:rFonts w:ascii="Arial" w:eastAsia="Times New Roman" w:hAnsi="Arial" w:cs="Arial"/>
          <w:sz w:val="24"/>
          <w:szCs w:val="24"/>
          <w:lang w:eastAsia="hr-HR"/>
        </w:rPr>
        <w:t>27.000.013,48</w:t>
      </w:r>
      <w:r w:rsidR="00175D0B"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što je za </w:t>
      </w:r>
      <w:r w:rsidR="00E14477" w:rsidRPr="00A17B6F">
        <w:rPr>
          <w:rFonts w:ascii="Arial" w:eastAsia="Times New Roman" w:hAnsi="Arial" w:cs="Arial"/>
          <w:sz w:val="24"/>
          <w:szCs w:val="24"/>
          <w:lang w:eastAsia="hr-HR"/>
        </w:rPr>
        <w:t>7.583.586,04</w:t>
      </w:r>
      <w:r w:rsidR="00175D0B"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E14477" w:rsidRPr="00A17B6F">
        <w:rPr>
          <w:rFonts w:ascii="Arial" w:eastAsia="Times New Roman" w:hAnsi="Arial" w:cs="Arial"/>
          <w:sz w:val="24"/>
          <w:szCs w:val="24"/>
          <w:lang w:eastAsia="hr-HR"/>
        </w:rPr>
        <w:t>39,06</w:t>
      </w:r>
      <w:r w:rsidRPr="00A17B6F">
        <w:rPr>
          <w:rFonts w:ascii="Arial" w:eastAsia="Times New Roman" w:hAnsi="Arial" w:cs="Arial"/>
          <w:sz w:val="24"/>
          <w:szCs w:val="24"/>
          <w:lang w:eastAsia="hr-HR"/>
        </w:rPr>
        <w:t>%) više u odnosu na naplatu tog poreza u istom razdoblju 202</w:t>
      </w:r>
      <w:r w:rsidR="00E14477" w:rsidRPr="00A17B6F">
        <w:rPr>
          <w:rFonts w:ascii="Arial" w:eastAsia="Times New Roman" w:hAnsi="Arial" w:cs="Arial"/>
          <w:sz w:val="24"/>
          <w:szCs w:val="24"/>
          <w:lang w:eastAsia="hr-HR"/>
        </w:rPr>
        <w:t>3</w:t>
      </w:r>
      <w:r w:rsidRPr="00A17B6F">
        <w:rPr>
          <w:rFonts w:ascii="Arial" w:eastAsia="Times New Roman" w:hAnsi="Arial" w:cs="Arial"/>
          <w:sz w:val="24"/>
          <w:szCs w:val="24"/>
          <w:lang w:eastAsia="hr-HR"/>
        </w:rPr>
        <w:t xml:space="preserve">. godine. Od ukupno naplaćenog poreza na dohodak, </w:t>
      </w:r>
      <w:r w:rsidR="00E14477" w:rsidRPr="00A17B6F">
        <w:rPr>
          <w:rFonts w:ascii="Arial" w:eastAsia="Times New Roman" w:hAnsi="Arial" w:cs="Arial"/>
          <w:sz w:val="24"/>
          <w:szCs w:val="24"/>
          <w:lang w:eastAsia="hr-HR"/>
        </w:rPr>
        <w:t>22.219.351,23</w:t>
      </w:r>
      <w:r w:rsidR="00175D0B"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odnosi se na </w:t>
      </w:r>
      <w:r w:rsidRPr="00A17B6F">
        <w:rPr>
          <w:rFonts w:ascii="Arial" w:eastAsia="Times New Roman" w:hAnsi="Arial" w:cs="Arial"/>
          <w:b/>
          <w:i/>
          <w:sz w:val="24"/>
          <w:szCs w:val="24"/>
          <w:lang w:eastAsia="hr-HR"/>
        </w:rPr>
        <w:t>porez na dohodak za ostale namjene</w:t>
      </w:r>
      <w:r w:rsidRPr="00A17B6F">
        <w:rPr>
          <w:rFonts w:ascii="Arial" w:eastAsia="Times New Roman" w:hAnsi="Arial" w:cs="Arial"/>
          <w:sz w:val="24"/>
          <w:szCs w:val="24"/>
          <w:lang w:eastAsia="hr-HR"/>
        </w:rPr>
        <w:t xml:space="preserve"> što predstavlja </w:t>
      </w:r>
      <w:r w:rsidR="00E14477" w:rsidRPr="00A17B6F">
        <w:rPr>
          <w:rFonts w:ascii="Arial" w:eastAsia="Times New Roman" w:hAnsi="Arial" w:cs="Arial"/>
          <w:sz w:val="24"/>
          <w:szCs w:val="24"/>
          <w:lang w:eastAsia="hr-HR"/>
        </w:rPr>
        <w:t>6.696.201,88</w:t>
      </w:r>
      <w:r w:rsidR="00175D0B" w:rsidRPr="00A17B6F">
        <w:rPr>
          <w:rFonts w:ascii="Arial" w:eastAsia="Times New Roman" w:hAnsi="Arial" w:cs="Arial"/>
          <w:sz w:val="24"/>
          <w:szCs w:val="24"/>
          <w:lang w:eastAsia="hr-HR"/>
        </w:rPr>
        <w:t xml:space="preserve"> eur</w:t>
      </w:r>
      <w:r w:rsidR="00E14477" w:rsidRPr="00A17B6F">
        <w:rPr>
          <w:rFonts w:ascii="Arial" w:eastAsia="Times New Roman" w:hAnsi="Arial" w:cs="Arial"/>
          <w:sz w:val="24"/>
          <w:szCs w:val="24"/>
          <w:lang w:eastAsia="hr-HR"/>
        </w:rPr>
        <w:t>a</w:t>
      </w:r>
      <w:r w:rsidRPr="00A17B6F">
        <w:rPr>
          <w:rFonts w:ascii="Arial" w:eastAsia="Times New Roman" w:hAnsi="Arial" w:cs="Arial"/>
          <w:sz w:val="24"/>
          <w:szCs w:val="24"/>
          <w:lang w:eastAsia="hr-HR"/>
        </w:rPr>
        <w:t xml:space="preserve"> ili </w:t>
      </w:r>
      <w:r w:rsidR="00E14477" w:rsidRPr="00A17B6F">
        <w:rPr>
          <w:rFonts w:ascii="Arial" w:eastAsia="Times New Roman" w:hAnsi="Arial" w:cs="Arial"/>
          <w:sz w:val="24"/>
          <w:szCs w:val="24"/>
          <w:lang w:eastAsia="hr-HR"/>
        </w:rPr>
        <w:t>43,14</w:t>
      </w:r>
      <w:r w:rsidRPr="00A17B6F">
        <w:rPr>
          <w:rFonts w:ascii="Arial" w:eastAsia="Times New Roman" w:hAnsi="Arial" w:cs="Arial"/>
          <w:sz w:val="24"/>
          <w:szCs w:val="24"/>
          <w:lang w:eastAsia="hr-HR"/>
        </w:rPr>
        <w:t>% bolju naplatu u odnosu na</w:t>
      </w:r>
      <w:r w:rsidR="00175D0B" w:rsidRPr="00A17B6F">
        <w:rPr>
          <w:rFonts w:ascii="Arial" w:eastAsia="Times New Roman" w:hAnsi="Arial" w:cs="Arial"/>
          <w:sz w:val="24"/>
          <w:szCs w:val="24"/>
          <w:lang w:eastAsia="hr-HR"/>
        </w:rPr>
        <w:t xml:space="preserve"> isto razdoblje 202</w:t>
      </w:r>
      <w:r w:rsidR="00E14477" w:rsidRPr="00A17B6F">
        <w:rPr>
          <w:rFonts w:ascii="Arial" w:eastAsia="Times New Roman" w:hAnsi="Arial" w:cs="Arial"/>
          <w:sz w:val="24"/>
          <w:szCs w:val="24"/>
          <w:lang w:eastAsia="hr-HR"/>
        </w:rPr>
        <w:t>3</w:t>
      </w:r>
      <w:r w:rsidR="00175D0B" w:rsidRPr="00A17B6F">
        <w:rPr>
          <w:rFonts w:ascii="Arial" w:eastAsia="Times New Roman" w:hAnsi="Arial" w:cs="Arial"/>
          <w:sz w:val="24"/>
          <w:szCs w:val="24"/>
          <w:lang w:eastAsia="hr-HR"/>
        </w:rPr>
        <w:t xml:space="preserve">. godine. </w:t>
      </w:r>
      <w:r w:rsidRPr="00A17B6F">
        <w:rPr>
          <w:rFonts w:ascii="Arial" w:eastAsia="Times New Roman" w:hAnsi="Arial" w:cs="Arial"/>
          <w:sz w:val="24"/>
          <w:szCs w:val="24"/>
          <w:lang w:eastAsia="hr-HR"/>
        </w:rPr>
        <w:t xml:space="preserve">Drugi segment naplaćenog poreza na dohodak odnosi se na </w:t>
      </w:r>
      <w:r w:rsidRPr="00A17B6F">
        <w:rPr>
          <w:rFonts w:ascii="Arial" w:eastAsia="Times New Roman" w:hAnsi="Arial" w:cs="Arial"/>
          <w:b/>
          <w:i/>
          <w:sz w:val="24"/>
          <w:szCs w:val="24"/>
          <w:lang w:eastAsia="hr-HR"/>
        </w:rPr>
        <w:t>porez na dohodak temeljem ustupljenih stopa za financiranje decentraliziranih funkcija</w:t>
      </w:r>
      <w:r w:rsidRPr="00A17B6F">
        <w:rPr>
          <w:rFonts w:ascii="Arial" w:eastAsia="Times New Roman" w:hAnsi="Arial" w:cs="Arial"/>
          <w:sz w:val="24"/>
          <w:szCs w:val="24"/>
          <w:lang w:eastAsia="hr-HR"/>
        </w:rPr>
        <w:t xml:space="preserve"> koji je u prvom polugodištu 202</w:t>
      </w:r>
      <w:r w:rsidR="00E14477"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naplaćen u iznosu od </w:t>
      </w:r>
      <w:r w:rsidR="00E14477" w:rsidRPr="00A17B6F">
        <w:rPr>
          <w:rFonts w:ascii="Arial" w:eastAsia="Times New Roman" w:hAnsi="Arial" w:cs="Arial"/>
          <w:sz w:val="24"/>
          <w:szCs w:val="24"/>
          <w:lang w:eastAsia="hr-HR"/>
        </w:rPr>
        <w:t>4.780.662,25</w:t>
      </w:r>
      <w:r w:rsidR="00175D0B"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što je </w:t>
      </w:r>
      <w:r w:rsidR="00E14477" w:rsidRPr="00A17B6F">
        <w:rPr>
          <w:rFonts w:ascii="Arial" w:eastAsia="Times New Roman" w:hAnsi="Arial" w:cs="Arial"/>
          <w:sz w:val="24"/>
          <w:szCs w:val="24"/>
          <w:lang w:eastAsia="hr-HR"/>
        </w:rPr>
        <w:t>887.384,16</w:t>
      </w:r>
      <w:r w:rsidR="00175D0B"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E14477" w:rsidRPr="00A17B6F">
        <w:rPr>
          <w:rFonts w:ascii="Arial" w:eastAsia="Times New Roman" w:hAnsi="Arial" w:cs="Arial"/>
          <w:sz w:val="24"/>
          <w:szCs w:val="24"/>
          <w:lang w:eastAsia="hr-HR"/>
        </w:rPr>
        <w:t>22,79</w:t>
      </w:r>
      <w:r w:rsidRPr="00A17B6F">
        <w:rPr>
          <w:rFonts w:ascii="Arial" w:eastAsia="Times New Roman" w:hAnsi="Arial" w:cs="Arial"/>
          <w:sz w:val="24"/>
          <w:szCs w:val="24"/>
          <w:lang w:eastAsia="hr-HR"/>
        </w:rPr>
        <w:t>% više u odnosu na prvo polugodište 202</w:t>
      </w:r>
      <w:r w:rsidR="00E14477" w:rsidRPr="00A17B6F">
        <w:rPr>
          <w:rFonts w:ascii="Arial" w:eastAsia="Times New Roman" w:hAnsi="Arial" w:cs="Arial"/>
          <w:sz w:val="24"/>
          <w:szCs w:val="24"/>
          <w:lang w:eastAsia="hr-HR"/>
        </w:rPr>
        <w:t>3</w:t>
      </w:r>
      <w:r w:rsidRPr="00A17B6F">
        <w:rPr>
          <w:rFonts w:ascii="Arial" w:eastAsia="Times New Roman" w:hAnsi="Arial" w:cs="Arial"/>
          <w:sz w:val="24"/>
          <w:szCs w:val="24"/>
          <w:lang w:eastAsia="hr-HR"/>
        </w:rPr>
        <w:t>. godine.</w:t>
      </w:r>
      <w:r w:rsidR="00A120AA" w:rsidRPr="00A17B6F">
        <w:rPr>
          <w:rFonts w:ascii="Arial" w:eastAsia="Times New Roman" w:hAnsi="Arial" w:cs="Arial"/>
          <w:sz w:val="24"/>
          <w:szCs w:val="24"/>
          <w:lang w:eastAsia="hr-HR"/>
        </w:rPr>
        <w:t xml:space="preserve"> </w:t>
      </w:r>
      <w:r w:rsidRPr="00A17B6F">
        <w:rPr>
          <w:rFonts w:ascii="Arial" w:eastAsia="Times New Roman" w:hAnsi="Arial" w:cs="Arial"/>
          <w:sz w:val="24"/>
          <w:szCs w:val="24"/>
          <w:lang w:eastAsia="hr-HR"/>
        </w:rPr>
        <w:t xml:space="preserve">Nedostajući iznos do minimalno propisanog standarda za decentralizirane funkcije osigurava se potporama izravnanja za decentralizirane funkcije iz </w:t>
      </w:r>
      <w:r w:rsidR="003408F0" w:rsidRPr="00A17B6F">
        <w:rPr>
          <w:rFonts w:ascii="Arial" w:eastAsia="Times New Roman" w:hAnsi="Arial" w:cs="Arial"/>
          <w:sz w:val="24"/>
          <w:szCs w:val="24"/>
          <w:lang w:eastAsia="hr-HR"/>
        </w:rPr>
        <w:t>D</w:t>
      </w:r>
      <w:r w:rsidRPr="00A17B6F">
        <w:rPr>
          <w:rFonts w:ascii="Arial" w:eastAsia="Times New Roman" w:hAnsi="Arial" w:cs="Arial"/>
          <w:sz w:val="24"/>
          <w:szCs w:val="24"/>
          <w:lang w:eastAsia="hr-HR"/>
        </w:rPr>
        <w:t xml:space="preserve">ržavnog proračuna, koje su planirane u sklopu skupine 63 – Pomoći i koje su temeljem navedenog u ovom izvještajnom razdoblju ostvarene u iznosu </w:t>
      </w:r>
      <w:r w:rsidR="00E14477" w:rsidRPr="00A17B6F">
        <w:rPr>
          <w:rFonts w:ascii="Arial" w:eastAsia="Times New Roman" w:hAnsi="Arial" w:cs="Arial"/>
          <w:sz w:val="24"/>
          <w:szCs w:val="24"/>
          <w:lang w:eastAsia="hr-HR"/>
        </w:rPr>
        <w:t>1.601.653,82</w:t>
      </w:r>
      <w:r w:rsidR="00175D0B" w:rsidRPr="00A17B6F">
        <w:rPr>
          <w:rFonts w:ascii="Arial" w:eastAsia="Times New Roman" w:hAnsi="Arial" w:cs="Arial"/>
          <w:sz w:val="24"/>
          <w:szCs w:val="24"/>
          <w:lang w:eastAsia="hr-HR"/>
        </w:rPr>
        <w:t xml:space="preserve"> eur</w:t>
      </w:r>
      <w:r w:rsidR="00E14477" w:rsidRPr="00A17B6F">
        <w:rPr>
          <w:rFonts w:ascii="Arial" w:eastAsia="Times New Roman" w:hAnsi="Arial" w:cs="Arial"/>
          <w:sz w:val="24"/>
          <w:szCs w:val="24"/>
          <w:lang w:eastAsia="hr-HR"/>
        </w:rPr>
        <w:t>a</w:t>
      </w:r>
      <w:r w:rsidRPr="00A17B6F">
        <w:rPr>
          <w:rFonts w:ascii="Arial" w:eastAsia="Times New Roman" w:hAnsi="Arial" w:cs="Arial"/>
          <w:sz w:val="24"/>
          <w:szCs w:val="24"/>
          <w:lang w:eastAsia="hr-HR"/>
        </w:rPr>
        <w:t xml:space="preserve"> što </w:t>
      </w:r>
      <w:r w:rsidR="00A120AA" w:rsidRPr="00A17B6F">
        <w:rPr>
          <w:rFonts w:ascii="Arial" w:eastAsia="Times New Roman" w:hAnsi="Arial" w:cs="Arial"/>
          <w:sz w:val="24"/>
          <w:szCs w:val="24"/>
          <w:lang w:eastAsia="hr-HR"/>
        </w:rPr>
        <w:t>je</w:t>
      </w:r>
      <w:r w:rsidRPr="00A17B6F">
        <w:rPr>
          <w:rFonts w:ascii="Arial" w:eastAsia="Times New Roman" w:hAnsi="Arial" w:cs="Arial"/>
          <w:sz w:val="24"/>
          <w:szCs w:val="24"/>
          <w:lang w:eastAsia="hr-HR"/>
        </w:rPr>
        <w:t xml:space="preserve"> </w:t>
      </w:r>
      <w:r w:rsidR="00E14477" w:rsidRPr="00A17B6F">
        <w:rPr>
          <w:rFonts w:ascii="Arial" w:eastAsia="Times New Roman" w:hAnsi="Arial" w:cs="Arial"/>
          <w:sz w:val="24"/>
          <w:szCs w:val="24"/>
          <w:lang w:eastAsia="hr-HR"/>
        </w:rPr>
        <w:t>598.209,49</w:t>
      </w:r>
      <w:r w:rsidR="00175D0B"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w:t>
      </w:r>
      <w:r w:rsidR="00CB272E" w:rsidRPr="00A17B6F">
        <w:rPr>
          <w:rFonts w:ascii="Arial" w:eastAsia="Times New Roman" w:hAnsi="Arial" w:cs="Arial"/>
          <w:sz w:val="24"/>
          <w:szCs w:val="24"/>
          <w:lang w:eastAsia="hr-HR"/>
        </w:rPr>
        <w:t>manje</w:t>
      </w:r>
      <w:r w:rsidRPr="00A17B6F">
        <w:rPr>
          <w:rFonts w:ascii="Arial" w:eastAsia="Times New Roman" w:hAnsi="Arial" w:cs="Arial"/>
          <w:sz w:val="24"/>
          <w:szCs w:val="24"/>
          <w:lang w:eastAsia="hr-HR"/>
        </w:rPr>
        <w:t xml:space="preserve"> od naplate u prvoj polovici 202</w:t>
      </w:r>
      <w:r w:rsidR="00E14477" w:rsidRPr="00A17B6F">
        <w:rPr>
          <w:rFonts w:ascii="Arial" w:eastAsia="Times New Roman" w:hAnsi="Arial" w:cs="Arial"/>
          <w:sz w:val="24"/>
          <w:szCs w:val="24"/>
          <w:lang w:eastAsia="hr-HR"/>
        </w:rPr>
        <w:t>3</w:t>
      </w:r>
      <w:r w:rsidRPr="00A17B6F">
        <w:rPr>
          <w:rFonts w:ascii="Arial" w:eastAsia="Times New Roman" w:hAnsi="Arial" w:cs="Arial"/>
          <w:sz w:val="24"/>
          <w:szCs w:val="24"/>
          <w:lang w:eastAsia="hr-HR"/>
        </w:rPr>
        <w:t>. godine. Iz navedenog proizlazi da je u prvih šest mjeseci 202</w:t>
      </w:r>
      <w:r w:rsidR="00E14477"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za decentralizirane funkcije ostvareno ukupno </w:t>
      </w:r>
      <w:r w:rsidR="00E14477" w:rsidRPr="00A17B6F">
        <w:rPr>
          <w:rFonts w:ascii="Arial" w:eastAsia="Times New Roman" w:hAnsi="Arial" w:cs="Arial"/>
          <w:sz w:val="24"/>
          <w:szCs w:val="24"/>
          <w:lang w:eastAsia="hr-HR"/>
        </w:rPr>
        <w:t>6.382.316,07</w:t>
      </w:r>
      <w:r w:rsidRPr="00A17B6F">
        <w:rPr>
          <w:rFonts w:ascii="Arial" w:eastAsia="Times New Roman" w:hAnsi="Arial" w:cs="Arial"/>
          <w:sz w:val="24"/>
          <w:szCs w:val="24"/>
          <w:lang w:eastAsia="hr-HR"/>
        </w:rPr>
        <w:t xml:space="preserve"> </w:t>
      </w:r>
      <w:r w:rsidR="00AC1E27" w:rsidRPr="00A17B6F">
        <w:rPr>
          <w:rFonts w:ascii="Arial" w:eastAsia="Times New Roman" w:hAnsi="Arial" w:cs="Arial"/>
          <w:sz w:val="24"/>
          <w:szCs w:val="24"/>
          <w:lang w:eastAsia="hr-HR"/>
        </w:rPr>
        <w:t>eura</w:t>
      </w:r>
      <w:r w:rsidRPr="00A17B6F">
        <w:rPr>
          <w:rFonts w:ascii="Arial" w:eastAsia="Times New Roman" w:hAnsi="Arial" w:cs="Arial"/>
          <w:sz w:val="24"/>
          <w:szCs w:val="24"/>
          <w:lang w:eastAsia="hr-HR"/>
        </w:rPr>
        <w:t xml:space="preserve"> prihoda.  </w:t>
      </w:r>
    </w:p>
    <w:p w14:paraId="736B75D6" w14:textId="7D08B24D" w:rsidR="00966DDB" w:rsidRPr="00A17B6F" w:rsidRDefault="00966DDB" w:rsidP="00966DDB">
      <w:pPr>
        <w:spacing w:after="120" w:line="240" w:lineRule="auto"/>
        <w:ind w:firstLine="357"/>
        <w:jc w:val="both"/>
        <w:rPr>
          <w:rFonts w:ascii="Arial" w:eastAsia="Times New Roman" w:hAnsi="Arial" w:cs="Arial"/>
          <w:color w:val="FF0000"/>
          <w:sz w:val="24"/>
          <w:szCs w:val="24"/>
          <w:lang w:eastAsia="hr-HR"/>
        </w:rPr>
      </w:pPr>
      <w:r w:rsidRPr="00A17B6F">
        <w:rPr>
          <w:rFonts w:ascii="Arial" w:eastAsia="Times New Roman" w:hAnsi="Arial" w:cs="Arial"/>
          <w:b/>
          <w:i/>
          <w:sz w:val="24"/>
          <w:szCs w:val="24"/>
          <w:lang w:eastAsia="hr-HR"/>
        </w:rPr>
        <w:t>Porezi na imovinu i porezi na robe i usluge</w:t>
      </w:r>
      <w:r w:rsidRPr="00A17B6F">
        <w:rPr>
          <w:rFonts w:ascii="Arial" w:eastAsia="Times New Roman" w:hAnsi="Arial" w:cs="Arial"/>
          <w:sz w:val="24"/>
          <w:szCs w:val="24"/>
          <w:lang w:eastAsia="hr-HR"/>
        </w:rPr>
        <w:t xml:space="preserve"> su izvorni županijski porezi. </w:t>
      </w:r>
      <w:r w:rsidRPr="00A17B6F">
        <w:rPr>
          <w:rFonts w:ascii="Arial" w:eastAsia="Times New Roman" w:hAnsi="Arial" w:cs="Arial"/>
          <w:b/>
          <w:sz w:val="24"/>
          <w:szCs w:val="24"/>
          <w:lang w:eastAsia="hr-HR"/>
        </w:rPr>
        <w:t>Porez na imovinu</w:t>
      </w:r>
      <w:r w:rsidRPr="00A17B6F">
        <w:rPr>
          <w:rFonts w:ascii="Arial" w:eastAsia="Times New Roman" w:hAnsi="Arial" w:cs="Arial"/>
          <w:sz w:val="24"/>
          <w:szCs w:val="24"/>
          <w:lang w:eastAsia="hr-HR"/>
        </w:rPr>
        <w:t xml:space="preserve"> odnosi se na porez na nasljedstva i darove koji je u ovom izvještajnom razdoblju naplaćen u iznosu od </w:t>
      </w:r>
      <w:r w:rsidR="00E14477" w:rsidRPr="00A17B6F">
        <w:rPr>
          <w:rFonts w:ascii="Arial" w:eastAsia="Times New Roman" w:hAnsi="Arial" w:cs="Arial"/>
          <w:sz w:val="24"/>
          <w:szCs w:val="24"/>
          <w:lang w:eastAsia="hr-HR"/>
        </w:rPr>
        <w:t>131.761,92</w:t>
      </w:r>
      <w:r w:rsidR="00AC1E27"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odnosno za </w:t>
      </w:r>
      <w:r w:rsidR="00E14477" w:rsidRPr="00A17B6F">
        <w:rPr>
          <w:rFonts w:ascii="Arial" w:eastAsia="Times New Roman" w:hAnsi="Arial" w:cs="Arial"/>
          <w:sz w:val="24"/>
          <w:szCs w:val="24"/>
          <w:lang w:eastAsia="hr-HR"/>
        </w:rPr>
        <w:t>18.817,85</w:t>
      </w:r>
      <w:r w:rsidR="00AC1E27" w:rsidRPr="00A17B6F">
        <w:rPr>
          <w:rFonts w:ascii="Arial" w:eastAsia="Times New Roman" w:hAnsi="Arial" w:cs="Arial"/>
          <w:sz w:val="24"/>
          <w:szCs w:val="24"/>
          <w:lang w:eastAsia="hr-HR"/>
        </w:rPr>
        <w:t xml:space="preserve"> eura </w:t>
      </w:r>
      <w:r w:rsidRPr="00A17B6F">
        <w:rPr>
          <w:rFonts w:ascii="Arial" w:eastAsia="Times New Roman" w:hAnsi="Arial" w:cs="Arial"/>
          <w:sz w:val="24"/>
          <w:szCs w:val="24"/>
          <w:lang w:eastAsia="hr-HR"/>
        </w:rPr>
        <w:t xml:space="preserve">ili </w:t>
      </w:r>
      <w:r w:rsidR="00E14477" w:rsidRPr="00A17B6F">
        <w:rPr>
          <w:rFonts w:ascii="Arial" w:eastAsia="Times New Roman" w:hAnsi="Arial" w:cs="Arial"/>
          <w:sz w:val="24"/>
          <w:szCs w:val="24"/>
          <w:lang w:eastAsia="hr-HR"/>
        </w:rPr>
        <w:t>12,5</w:t>
      </w:r>
      <w:r w:rsidRPr="00A17B6F">
        <w:rPr>
          <w:rFonts w:ascii="Arial" w:eastAsia="Times New Roman" w:hAnsi="Arial" w:cs="Arial"/>
          <w:sz w:val="24"/>
          <w:szCs w:val="24"/>
          <w:lang w:eastAsia="hr-HR"/>
        </w:rPr>
        <w:t xml:space="preserve">% </w:t>
      </w:r>
      <w:r w:rsidR="00E14477" w:rsidRPr="00A17B6F">
        <w:rPr>
          <w:rFonts w:ascii="Arial" w:eastAsia="Times New Roman" w:hAnsi="Arial" w:cs="Arial"/>
          <w:sz w:val="24"/>
          <w:szCs w:val="24"/>
          <w:lang w:eastAsia="hr-HR"/>
        </w:rPr>
        <w:t>manje</w:t>
      </w:r>
      <w:r w:rsidRPr="00A17B6F">
        <w:rPr>
          <w:rFonts w:ascii="Arial" w:eastAsia="Times New Roman" w:hAnsi="Arial" w:cs="Arial"/>
          <w:sz w:val="24"/>
          <w:szCs w:val="24"/>
          <w:lang w:eastAsia="hr-HR"/>
        </w:rPr>
        <w:t xml:space="preserve"> u odnosu na isto razdoblje prethodne godine. </w:t>
      </w:r>
      <w:r w:rsidRPr="00A17B6F">
        <w:rPr>
          <w:rFonts w:ascii="Arial" w:eastAsia="Times New Roman" w:hAnsi="Arial" w:cs="Arial"/>
          <w:b/>
          <w:sz w:val="24"/>
          <w:szCs w:val="24"/>
          <w:lang w:eastAsia="hr-HR"/>
        </w:rPr>
        <w:t>Poreze na robu i usluge</w:t>
      </w:r>
      <w:r w:rsidRPr="00A17B6F">
        <w:rPr>
          <w:rFonts w:ascii="Arial" w:eastAsia="Times New Roman" w:hAnsi="Arial" w:cs="Arial"/>
          <w:sz w:val="24"/>
          <w:szCs w:val="24"/>
          <w:lang w:eastAsia="hr-HR"/>
        </w:rPr>
        <w:t xml:space="preserve"> čine porez na cestovna motorna vozila, porez na plovne objekte i porez na automate za zabavne igre. U prvoj polovici 202</w:t>
      </w:r>
      <w:r w:rsidR="00E14477"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navedeni porezi su naplaćeni u iznosu od </w:t>
      </w:r>
      <w:r w:rsidR="00E14477" w:rsidRPr="00A17B6F">
        <w:rPr>
          <w:rFonts w:ascii="Arial" w:eastAsia="Times New Roman" w:hAnsi="Arial" w:cs="Arial"/>
          <w:sz w:val="24"/>
          <w:szCs w:val="24"/>
          <w:lang w:eastAsia="hr-HR"/>
        </w:rPr>
        <w:t>1.783.527,35</w:t>
      </w:r>
      <w:r w:rsidR="00AC1E27"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što je </w:t>
      </w:r>
      <w:r w:rsidR="00E14477" w:rsidRPr="00A17B6F">
        <w:rPr>
          <w:rFonts w:ascii="Arial" w:eastAsia="Times New Roman" w:hAnsi="Arial" w:cs="Arial"/>
          <w:sz w:val="24"/>
          <w:szCs w:val="24"/>
          <w:lang w:eastAsia="hr-HR"/>
        </w:rPr>
        <w:t>186.687,50</w:t>
      </w:r>
      <w:r w:rsidR="00A120AA"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E14477" w:rsidRPr="00A17B6F">
        <w:rPr>
          <w:rFonts w:ascii="Arial" w:eastAsia="Times New Roman" w:hAnsi="Arial" w:cs="Arial"/>
          <w:sz w:val="24"/>
          <w:szCs w:val="24"/>
          <w:lang w:eastAsia="hr-HR"/>
        </w:rPr>
        <w:t>11,69</w:t>
      </w:r>
      <w:r w:rsidRPr="00A17B6F">
        <w:rPr>
          <w:rFonts w:ascii="Arial" w:eastAsia="Times New Roman" w:hAnsi="Arial" w:cs="Arial"/>
          <w:sz w:val="24"/>
          <w:szCs w:val="24"/>
          <w:lang w:eastAsia="hr-HR"/>
        </w:rPr>
        <w:t xml:space="preserve">% </w:t>
      </w:r>
      <w:r w:rsidR="00CB272E" w:rsidRPr="00A17B6F">
        <w:rPr>
          <w:rFonts w:ascii="Arial" w:eastAsia="Times New Roman" w:hAnsi="Arial" w:cs="Arial"/>
          <w:sz w:val="24"/>
          <w:szCs w:val="24"/>
          <w:lang w:eastAsia="hr-HR"/>
        </w:rPr>
        <w:t>više</w:t>
      </w:r>
      <w:r w:rsidRPr="00A17B6F">
        <w:rPr>
          <w:rFonts w:ascii="Arial" w:eastAsia="Times New Roman" w:hAnsi="Arial" w:cs="Arial"/>
          <w:sz w:val="24"/>
          <w:szCs w:val="24"/>
          <w:lang w:eastAsia="hr-HR"/>
        </w:rPr>
        <w:t xml:space="preserve"> nego u istom razdoblju proš</w:t>
      </w:r>
      <w:r w:rsidR="00CB272E" w:rsidRPr="00A17B6F">
        <w:rPr>
          <w:rFonts w:ascii="Arial" w:eastAsia="Times New Roman" w:hAnsi="Arial" w:cs="Arial"/>
          <w:sz w:val="24"/>
          <w:szCs w:val="24"/>
          <w:lang w:eastAsia="hr-HR"/>
        </w:rPr>
        <w:t>l</w:t>
      </w:r>
      <w:r w:rsidRPr="00A17B6F">
        <w:rPr>
          <w:rFonts w:ascii="Arial" w:eastAsia="Times New Roman" w:hAnsi="Arial" w:cs="Arial"/>
          <w:sz w:val="24"/>
          <w:szCs w:val="24"/>
          <w:lang w:eastAsia="hr-HR"/>
        </w:rPr>
        <w:t xml:space="preserve">e godine. </w:t>
      </w:r>
      <w:r w:rsidR="00A120AA" w:rsidRPr="00A17B6F">
        <w:rPr>
          <w:rFonts w:ascii="Arial" w:eastAsia="Times New Roman" w:hAnsi="Arial" w:cs="Arial"/>
          <w:sz w:val="24"/>
          <w:szCs w:val="24"/>
          <w:lang w:eastAsia="hr-HR"/>
        </w:rPr>
        <w:t>Najveći doprinos naplati ove podskupine prihoda ima prihod od naplate poreza na cestovna motorna vozila (</w:t>
      </w:r>
      <w:r w:rsidR="00B712DD" w:rsidRPr="00A17B6F">
        <w:rPr>
          <w:rFonts w:ascii="Arial" w:eastAsia="Times New Roman" w:hAnsi="Arial" w:cs="Arial"/>
          <w:sz w:val="24"/>
          <w:szCs w:val="24"/>
          <w:lang w:eastAsia="hr-HR"/>
        </w:rPr>
        <w:t>1.689.607,44</w:t>
      </w:r>
      <w:r w:rsidR="00A120AA" w:rsidRPr="00A17B6F">
        <w:rPr>
          <w:rFonts w:ascii="Arial" w:eastAsia="Times New Roman" w:hAnsi="Arial" w:cs="Arial"/>
          <w:sz w:val="24"/>
          <w:szCs w:val="24"/>
          <w:lang w:eastAsia="hr-HR"/>
        </w:rPr>
        <w:t xml:space="preserve"> eura</w:t>
      </w:r>
      <w:r w:rsidR="00B712DD" w:rsidRPr="00A17B6F">
        <w:rPr>
          <w:rFonts w:ascii="Arial" w:eastAsia="Times New Roman" w:hAnsi="Arial" w:cs="Arial"/>
          <w:sz w:val="24"/>
          <w:szCs w:val="24"/>
          <w:lang w:eastAsia="hr-HR"/>
        </w:rPr>
        <w:t xml:space="preserve"> uz porast naplate od 149.551,85 eura</w:t>
      </w:r>
      <w:r w:rsidR="00A120AA" w:rsidRPr="00A17B6F">
        <w:rPr>
          <w:rFonts w:ascii="Arial" w:eastAsia="Times New Roman" w:hAnsi="Arial" w:cs="Arial"/>
          <w:sz w:val="24"/>
          <w:szCs w:val="24"/>
          <w:lang w:eastAsia="hr-HR"/>
        </w:rPr>
        <w:t>), nakon kojeg slijedi prihod od poreza na plovne objekte (</w:t>
      </w:r>
      <w:r w:rsidR="00B712DD" w:rsidRPr="00A17B6F">
        <w:rPr>
          <w:rFonts w:ascii="Arial" w:eastAsia="Times New Roman" w:hAnsi="Arial" w:cs="Arial"/>
          <w:sz w:val="24"/>
          <w:szCs w:val="24"/>
          <w:lang w:eastAsia="hr-HR"/>
        </w:rPr>
        <w:t>84.013,41</w:t>
      </w:r>
      <w:r w:rsidR="00A120AA" w:rsidRPr="00A17B6F">
        <w:rPr>
          <w:rFonts w:ascii="Arial" w:eastAsia="Times New Roman" w:hAnsi="Arial" w:cs="Arial"/>
          <w:sz w:val="24"/>
          <w:szCs w:val="24"/>
          <w:lang w:eastAsia="hr-HR"/>
        </w:rPr>
        <w:t xml:space="preserve"> eura</w:t>
      </w:r>
      <w:r w:rsidR="00B712DD" w:rsidRPr="00A17B6F">
        <w:rPr>
          <w:rFonts w:ascii="Arial" w:eastAsia="Times New Roman" w:hAnsi="Arial" w:cs="Arial"/>
          <w:sz w:val="24"/>
          <w:szCs w:val="24"/>
          <w:lang w:eastAsia="hr-HR"/>
        </w:rPr>
        <w:t xml:space="preserve"> uz porast naplate od 37.636,57 eura</w:t>
      </w:r>
      <w:r w:rsidR="00A120AA" w:rsidRPr="00A17B6F">
        <w:rPr>
          <w:rFonts w:ascii="Arial" w:eastAsia="Times New Roman" w:hAnsi="Arial" w:cs="Arial"/>
          <w:sz w:val="24"/>
          <w:szCs w:val="24"/>
          <w:lang w:eastAsia="hr-HR"/>
        </w:rPr>
        <w:t>) i prihod od poreza na automate za zabavne igre (</w:t>
      </w:r>
      <w:r w:rsidR="00B712DD" w:rsidRPr="00A17B6F">
        <w:rPr>
          <w:rFonts w:ascii="Arial" w:eastAsia="Times New Roman" w:hAnsi="Arial" w:cs="Arial"/>
          <w:sz w:val="24"/>
          <w:szCs w:val="24"/>
          <w:lang w:eastAsia="hr-HR"/>
        </w:rPr>
        <w:t>9.906,50</w:t>
      </w:r>
      <w:r w:rsidR="00A120AA" w:rsidRPr="00A17B6F">
        <w:rPr>
          <w:rFonts w:ascii="Arial" w:eastAsia="Times New Roman" w:hAnsi="Arial" w:cs="Arial"/>
          <w:sz w:val="24"/>
          <w:szCs w:val="24"/>
          <w:lang w:eastAsia="hr-HR"/>
        </w:rPr>
        <w:t xml:space="preserve"> eura</w:t>
      </w:r>
      <w:r w:rsidR="00B712DD" w:rsidRPr="00A17B6F">
        <w:rPr>
          <w:rFonts w:ascii="Arial" w:eastAsia="Times New Roman" w:hAnsi="Arial" w:cs="Arial"/>
          <w:sz w:val="24"/>
          <w:szCs w:val="24"/>
          <w:lang w:eastAsia="hr-HR"/>
        </w:rPr>
        <w:t xml:space="preserve"> uz pad naplate od 500,92 eura</w:t>
      </w:r>
      <w:r w:rsidR="00A120AA" w:rsidRPr="00A17B6F">
        <w:rPr>
          <w:rFonts w:ascii="Arial" w:eastAsia="Times New Roman" w:hAnsi="Arial" w:cs="Arial"/>
          <w:sz w:val="24"/>
          <w:szCs w:val="24"/>
          <w:lang w:eastAsia="hr-HR"/>
        </w:rPr>
        <w:t>).</w:t>
      </w:r>
    </w:p>
    <w:p w14:paraId="4B2A42C5" w14:textId="75060F4E" w:rsidR="00B716AB" w:rsidRPr="00A17B6F" w:rsidRDefault="00966DDB" w:rsidP="00966DDB">
      <w:pPr>
        <w:spacing w:after="0" w:line="240" w:lineRule="auto"/>
        <w:ind w:firstLine="360"/>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Ukupni </w:t>
      </w:r>
      <w:r w:rsidRPr="00A17B6F">
        <w:rPr>
          <w:rFonts w:ascii="Arial" w:eastAsia="Times New Roman" w:hAnsi="Arial" w:cs="Arial"/>
          <w:b/>
          <w:sz w:val="24"/>
          <w:szCs w:val="24"/>
          <w:lang w:eastAsia="hr-HR"/>
        </w:rPr>
        <w:t>prihodi od pomoći iz inozemstva i od subjekata unutar opće države</w:t>
      </w:r>
      <w:r w:rsidRPr="00A17B6F">
        <w:rPr>
          <w:rFonts w:ascii="Arial" w:eastAsia="Times New Roman" w:hAnsi="Arial" w:cs="Arial"/>
          <w:sz w:val="24"/>
          <w:szCs w:val="24"/>
          <w:lang w:eastAsia="hr-HR"/>
        </w:rPr>
        <w:t xml:space="preserve"> u prvoj polovici 202</w:t>
      </w:r>
      <w:r w:rsidR="00134A3A"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ostvareni su u iznosu od </w:t>
      </w:r>
      <w:r w:rsidR="00134A3A" w:rsidRPr="00A17B6F">
        <w:rPr>
          <w:rFonts w:ascii="Arial" w:eastAsia="Times New Roman" w:hAnsi="Arial" w:cs="Arial"/>
          <w:sz w:val="24"/>
          <w:szCs w:val="24"/>
          <w:lang w:eastAsia="hr-HR"/>
        </w:rPr>
        <w:t>57.389.659,97</w:t>
      </w:r>
      <w:r w:rsidR="00B716AB"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134A3A" w:rsidRPr="00A17B6F">
        <w:rPr>
          <w:rFonts w:ascii="Arial" w:eastAsia="Times New Roman" w:hAnsi="Arial" w:cs="Arial"/>
          <w:sz w:val="24"/>
          <w:szCs w:val="24"/>
          <w:lang w:eastAsia="hr-HR"/>
        </w:rPr>
        <w:t>49,50</w:t>
      </w:r>
      <w:r w:rsidRPr="00A17B6F">
        <w:rPr>
          <w:rFonts w:ascii="Arial" w:eastAsia="Times New Roman" w:hAnsi="Arial" w:cs="Arial"/>
          <w:sz w:val="24"/>
          <w:szCs w:val="24"/>
          <w:lang w:eastAsia="hr-HR"/>
        </w:rPr>
        <w:t xml:space="preserve">% godišnjeg plana. Od navedenog iznosa </w:t>
      </w:r>
      <w:r w:rsidR="00134A3A" w:rsidRPr="00A17B6F">
        <w:rPr>
          <w:rFonts w:ascii="Arial" w:eastAsia="Times New Roman" w:hAnsi="Arial" w:cs="Arial"/>
          <w:sz w:val="24"/>
          <w:szCs w:val="24"/>
          <w:lang w:eastAsia="hr-HR"/>
        </w:rPr>
        <w:t>4.887.657,55</w:t>
      </w:r>
      <w:r w:rsidR="00B716AB"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se odnosi na prihode </w:t>
      </w:r>
      <w:r w:rsidR="00B716AB" w:rsidRPr="00A17B6F">
        <w:rPr>
          <w:rFonts w:ascii="Arial" w:eastAsia="Times New Roman" w:hAnsi="Arial" w:cs="Arial"/>
          <w:sz w:val="24"/>
          <w:szCs w:val="24"/>
          <w:lang w:eastAsia="hr-HR"/>
        </w:rPr>
        <w:t>Županije</w:t>
      </w:r>
      <w:r w:rsidRPr="00A17B6F">
        <w:rPr>
          <w:rFonts w:ascii="Arial" w:eastAsia="Times New Roman" w:hAnsi="Arial" w:cs="Arial"/>
          <w:sz w:val="24"/>
          <w:szCs w:val="24"/>
          <w:lang w:eastAsia="hr-HR"/>
        </w:rPr>
        <w:t xml:space="preserve"> dok se </w:t>
      </w:r>
      <w:r w:rsidR="00134A3A" w:rsidRPr="00A17B6F">
        <w:rPr>
          <w:rFonts w:ascii="Arial" w:eastAsia="Times New Roman" w:hAnsi="Arial" w:cs="Arial"/>
          <w:sz w:val="24"/>
          <w:szCs w:val="24"/>
          <w:lang w:eastAsia="hr-HR"/>
        </w:rPr>
        <w:t>52.502.002,42</w:t>
      </w:r>
      <w:r w:rsidRPr="00A17B6F">
        <w:rPr>
          <w:rFonts w:ascii="Arial" w:eastAsia="Times New Roman" w:hAnsi="Arial" w:cs="Arial"/>
          <w:sz w:val="24"/>
          <w:szCs w:val="24"/>
          <w:lang w:eastAsia="hr-HR"/>
        </w:rPr>
        <w:t xml:space="preserve"> </w:t>
      </w:r>
      <w:r w:rsidR="00B716AB" w:rsidRPr="00A17B6F">
        <w:rPr>
          <w:rFonts w:ascii="Arial" w:eastAsia="Times New Roman" w:hAnsi="Arial" w:cs="Arial"/>
          <w:sz w:val="24"/>
          <w:szCs w:val="24"/>
          <w:lang w:eastAsia="hr-HR"/>
        </w:rPr>
        <w:t xml:space="preserve">eura </w:t>
      </w:r>
      <w:r w:rsidRPr="00A17B6F">
        <w:rPr>
          <w:rFonts w:ascii="Arial" w:eastAsia="Times New Roman" w:hAnsi="Arial" w:cs="Arial"/>
          <w:sz w:val="24"/>
          <w:szCs w:val="24"/>
          <w:lang w:eastAsia="hr-HR"/>
        </w:rPr>
        <w:t xml:space="preserve">odnosi na prihode od pomoći županijskih proračunskih korisnika. </w:t>
      </w:r>
      <w:r w:rsidR="00B716AB" w:rsidRPr="00A17B6F">
        <w:rPr>
          <w:rFonts w:ascii="Arial" w:eastAsia="Times New Roman" w:hAnsi="Arial" w:cs="Arial"/>
          <w:sz w:val="24"/>
          <w:szCs w:val="24"/>
          <w:lang w:eastAsia="hr-HR"/>
        </w:rPr>
        <w:t>Prihodi</w:t>
      </w:r>
      <w:r w:rsidRPr="00A17B6F">
        <w:rPr>
          <w:rFonts w:ascii="Arial" w:eastAsia="Times New Roman" w:hAnsi="Arial" w:cs="Arial"/>
          <w:sz w:val="24"/>
          <w:szCs w:val="24"/>
          <w:lang w:eastAsia="hr-HR"/>
        </w:rPr>
        <w:t xml:space="preserve"> pomoći naplaćeni su u </w:t>
      </w:r>
      <w:r w:rsidR="00B716AB" w:rsidRPr="00A17B6F">
        <w:rPr>
          <w:rFonts w:ascii="Arial" w:eastAsia="Times New Roman" w:hAnsi="Arial" w:cs="Arial"/>
          <w:sz w:val="24"/>
          <w:szCs w:val="24"/>
          <w:lang w:eastAsia="hr-HR"/>
        </w:rPr>
        <w:t>izvještajnom razdoblju tekuće godine</w:t>
      </w:r>
      <w:r w:rsidRPr="00A17B6F">
        <w:rPr>
          <w:rFonts w:ascii="Arial" w:eastAsia="Times New Roman" w:hAnsi="Arial" w:cs="Arial"/>
          <w:sz w:val="24"/>
          <w:szCs w:val="24"/>
          <w:lang w:eastAsia="hr-HR"/>
        </w:rPr>
        <w:t xml:space="preserve"> za </w:t>
      </w:r>
      <w:r w:rsidR="00134A3A" w:rsidRPr="00A17B6F">
        <w:rPr>
          <w:rFonts w:ascii="Arial" w:eastAsia="Times New Roman" w:hAnsi="Arial" w:cs="Arial"/>
          <w:sz w:val="24"/>
          <w:szCs w:val="24"/>
          <w:lang w:eastAsia="hr-HR"/>
        </w:rPr>
        <w:t>14.661.103,32</w:t>
      </w:r>
      <w:r w:rsidR="00B716AB" w:rsidRPr="00A17B6F">
        <w:rPr>
          <w:rFonts w:ascii="Arial" w:eastAsia="Times New Roman" w:hAnsi="Arial" w:cs="Arial"/>
          <w:sz w:val="24"/>
          <w:szCs w:val="24"/>
          <w:lang w:eastAsia="hr-HR"/>
        </w:rPr>
        <w:t xml:space="preserve"> eura ili </w:t>
      </w:r>
      <w:r w:rsidR="00134A3A" w:rsidRPr="00A17B6F">
        <w:rPr>
          <w:rFonts w:ascii="Arial" w:eastAsia="Times New Roman" w:hAnsi="Arial" w:cs="Arial"/>
          <w:sz w:val="24"/>
          <w:szCs w:val="24"/>
          <w:lang w:eastAsia="hr-HR"/>
        </w:rPr>
        <w:t>34,31</w:t>
      </w:r>
      <w:r w:rsidR="00B716AB" w:rsidRPr="00A17B6F">
        <w:rPr>
          <w:rFonts w:ascii="Arial" w:eastAsia="Times New Roman" w:hAnsi="Arial" w:cs="Arial"/>
          <w:sz w:val="24"/>
          <w:szCs w:val="24"/>
          <w:lang w:eastAsia="hr-HR"/>
        </w:rPr>
        <w:t>% više nego u i</w:t>
      </w:r>
      <w:r w:rsidR="00BD2906" w:rsidRPr="00A17B6F">
        <w:rPr>
          <w:rFonts w:ascii="Arial" w:eastAsia="Times New Roman" w:hAnsi="Arial" w:cs="Arial"/>
          <w:sz w:val="24"/>
          <w:szCs w:val="24"/>
          <w:lang w:eastAsia="hr-HR"/>
        </w:rPr>
        <w:t>stom razdoblju prethodne godine, pri čemu najveći doprinos navedenom povećanju imaju prihodi od pomoći proračunskim korisnicima iz proračuna koji im nije nadležan (</w:t>
      </w:r>
      <w:r w:rsidR="00134A3A" w:rsidRPr="00A17B6F">
        <w:rPr>
          <w:rFonts w:ascii="Arial" w:eastAsia="Times New Roman" w:hAnsi="Arial" w:cs="Arial"/>
          <w:sz w:val="24"/>
          <w:szCs w:val="24"/>
          <w:lang w:eastAsia="hr-HR"/>
        </w:rPr>
        <w:t>9.692.441,56</w:t>
      </w:r>
      <w:r w:rsidR="00BD2906" w:rsidRPr="00A17B6F">
        <w:rPr>
          <w:rFonts w:ascii="Arial" w:eastAsia="Times New Roman" w:hAnsi="Arial" w:cs="Arial"/>
          <w:sz w:val="24"/>
          <w:szCs w:val="24"/>
          <w:lang w:eastAsia="hr-HR"/>
        </w:rPr>
        <w:t xml:space="preserve"> eura)</w:t>
      </w:r>
      <w:r w:rsidR="00134A3A" w:rsidRPr="00A17B6F">
        <w:rPr>
          <w:rFonts w:ascii="Arial" w:eastAsia="Times New Roman" w:hAnsi="Arial" w:cs="Arial"/>
          <w:sz w:val="24"/>
          <w:szCs w:val="24"/>
          <w:lang w:eastAsia="hr-HR"/>
        </w:rPr>
        <w:t xml:space="preserve"> i prihod za provođenje EU projekata (5.540.453,99 eura)</w:t>
      </w:r>
      <w:r w:rsidR="00BD2906" w:rsidRPr="00A17B6F">
        <w:rPr>
          <w:rFonts w:ascii="Arial" w:eastAsia="Times New Roman" w:hAnsi="Arial" w:cs="Arial"/>
          <w:sz w:val="24"/>
          <w:szCs w:val="24"/>
          <w:lang w:eastAsia="hr-HR"/>
        </w:rPr>
        <w:t>.</w:t>
      </w:r>
    </w:p>
    <w:p w14:paraId="683E1D75" w14:textId="77777777" w:rsidR="00966DDB" w:rsidRPr="00A17B6F" w:rsidRDefault="00966DDB" w:rsidP="00966DDB">
      <w:pPr>
        <w:spacing w:after="0" w:line="240" w:lineRule="auto"/>
        <w:ind w:firstLine="360"/>
        <w:jc w:val="both"/>
        <w:rPr>
          <w:rFonts w:ascii="Arial" w:eastAsia="Times New Roman" w:hAnsi="Arial" w:cs="Arial"/>
          <w:sz w:val="24"/>
          <w:szCs w:val="24"/>
          <w:lang w:eastAsia="hr-HR"/>
        </w:rPr>
      </w:pPr>
    </w:p>
    <w:p w14:paraId="0718F072" w14:textId="2A59815C" w:rsidR="00BD2906" w:rsidRPr="00A17B6F" w:rsidRDefault="00966DDB" w:rsidP="00966DDB">
      <w:pPr>
        <w:spacing w:after="0" w:line="240" w:lineRule="auto"/>
        <w:ind w:firstLine="360"/>
        <w:jc w:val="both"/>
        <w:rPr>
          <w:rFonts w:ascii="Arial" w:eastAsia="Times New Roman" w:hAnsi="Arial" w:cs="Arial"/>
          <w:sz w:val="24"/>
          <w:szCs w:val="24"/>
          <w:lang w:eastAsia="hr-HR"/>
        </w:rPr>
      </w:pPr>
      <w:r w:rsidRPr="00A17B6F">
        <w:rPr>
          <w:rFonts w:ascii="Arial" w:eastAsia="Times New Roman" w:hAnsi="Arial" w:cs="Arial"/>
          <w:b/>
          <w:i/>
          <w:sz w:val="24"/>
          <w:szCs w:val="24"/>
          <w:lang w:eastAsia="hr-HR"/>
        </w:rPr>
        <w:t>Pomoći od međunarodnih organizacija te institucija i tijela EU</w:t>
      </w:r>
      <w:r w:rsidRPr="00A17B6F">
        <w:rPr>
          <w:rFonts w:ascii="Arial" w:eastAsia="Times New Roman" w:hAnsi="Arial" w:cs="Arial"/>
          <w:i/>
          <w:sz w:val="24"/>
          <w:szCs w:val="24"/>
          <w:lang w:eastAsia="hr-HR"/>
        </w:rPr>
        <w:t xml:space="preserve"> (račun 632) i </w:t>
      </w:r>
      <w:r w:rsidRPr="00A17B6F">
        <w:rPr>
          <w:rFonts w:ascii="Arial" w:eastAsia="Times New Roman" w:hAnsi="Arial" w:cs="Arial"/>
          <w:b/>
          <w:i/>
          <w:sz w:val="24"/>
          <w:szCs w:val="24"/>
          <w:lang w:eastAsia="hr-HR"/>
        </w:rPr>
        <w:t>pomoći iz državnog proračuna temeljem prijenosa EU sredstava</w:t>
      </w:r>
      <w:r w:rsidRPr="00A17B6F">
        <w:rPr>
          <w:rFonts w:ascii="Arial" w:eastAsia="Times New Roman" w:hAnsi="Arial" w:cs="Arial"/>
          <w:i/>
          <w:sz w:val="24"/>
          <w:szCs w:val="24"/>
          <w:lang w:eastAsia="hr-HR"/>
        </w:rPr>
        <w:t xml:space="preserve"> (račun 638)</w:t>
      </w:r>
      <w:r w:rsidRPr="00A17B6F">
        <w:rPr>
          <w:rFonts w:ascii="Arial" w:eastAsia="Times New Roman" w:hAnsi="Arial" w:cs="Arial"/>
          <w:sz w:val="24"/>
          <w:szCs w:val="24"/>
          <w:lang w:eastAsia="hr-HR"/>
        </w:rPr>
        <w:t xml:space="preserve"> predstavljaju prihod</w:t>
      </w:r>
      <w:r w:rsidR="00BD2906" w:rsidRPr="00A17B6F">
        <w:rPr>
          <w:rFonts w:ascii="Arial" w:eastAsia="Times New Roman" w:hAnsi="Arial" w:cs="Arial"/>
          <w:sz w:val="24"/>
          <w:szCs w:val="24"/>
          <w:lang w:eastAsia="hr-HR"/>
        </w:rPr>
        <w:t xml:space="preserve">e za financiranje EU projekata koji su u izvještajnom razdoblju ukupno naplaćeni </w:t>
      </w:r>
      <w:r w:rsidR="00134A3A" w:rsidRPr="00A17B6F">
        <w:rPr>
          <w:rFonts w:ascii="Arial" w:eastAsia="Times New Roman" w:hAnsi="Arial" w:cs="Arial"/>
          <w:sz w:val="24"/>
          <w:szCs w:val="24"/>
          <w:lang w:eastAsia="hr-HR"/>
        </w:rPr>
        <w:t>7.500.973,31</w:t>
      </w:r>
      <w:r w:rsidR="00BD2906" w:rsidRPr="00A17B6F">
        <w:rPr>
          <w:rFonts w:ascii="Arial" w:eastAsia="Times New Roman" w:hAnsi="Arial" w:cs="Arial"/>
          <w:sz w:val="24"/>
          <w:szCs w:val="24"/>
          <w:lang w:eastAsia="hr-HR"/>
        </w:rPr>
        <w:t xml:space="preserve"> eur</w:t>
      </w:r>
      <w:r w:rsidR="00134A3A" w:rsidRPr="00A17B6F">
        <w:rPr>
          <w:rFonts w:ascii="Arial" w:eastAsia="Times New Roman" w:hAnsi="Arial" w:cs="Arial"/>
          <w:sz w:val="24"/>
          <w:szCs w:val="24"/>
          <w:lang w:eastAsia="hr-HR"/>
        </w:rPr>
        <w:t>o</w:t>
      </w:r>
      <w:r w:rsidR="00BD2906" w:rsidRPr="00A17B6F">
        <w:rPr>
          <w:rFonts w:ascii="Arial" w:eastAsia="Times New Roman" w:hAnsi="Arial" w:cs="Arial"/>
          <w:sz w:val="24"/>
          <w:szCs w:val="24"/>
          <w:lang w:eastAsia="hr-HR"/>
        </w:rPr>
        <w:t xml:space="preserve"> </w:t>
      </w:r>
      <w:r w:rsidR="00BD2906" w:rsidRPr="00A17B6F">
        <w:rPr>
          <w:rFonts w:ascii="Arial" w:eastAsia="Times New Roman" w:hAnsi="Arial" w:cs="Arial"/>
          <w:sz w:val="24"/>
          <w:szCs w:val="24"/>
          <w:lang w:eastAsia="hr-HR"/>
        </w:rPr>
        <w:lastRenderedPageBreak/>
        <w:t xml:space="preserve">što je </w:t>
      </w:r>
      <w:r w:rsidR="00134A3A" w:rsidRPr="00A17B6F">
        <w:rPr>
          <w:rFonts w:ascii="Arial" w:eastAsia="Times New Roman" w:hAnsi="Arial" w:cs="Arial"/>
          <w:sz w:val="24"/>
          <w:szCs w:val="24"/>
          <w:lang w:eastAsia="hr-HR"/>
        </w:rPr>
        <w:t>5.540.453,99</w:t>
      </w:r>
      <w:r w:rsidR="00BD2906" w:rsidRPr="00A17B6F">
        <w:rPr>
          <w:rFonts w:ascii="Arial" w:eastAsia="Times New Roman" w:hAnsi="Arial" w:cs="Arial"/>
          <w:sz w:val="24"/>
          <w:szCs w:val="24"/>
          <w:lang w:eastAsia="hr-HR"/>
        </w:rPr>
        <w:t xml:space="preserve"> eura ili </w:t>
      </w:r>
      <w:r w:rsidR="00134A3A" w:rsidRPr="00A17B6F">
        <w:rPr>
          <w:rFonts w:ascii="Arial" w:eastAsia="Times New Roman" w:hAnsi="Arial" w:cs="Arial"/>
          <w:sz w:val="24"/>
          <w:szCs w:val="24"/>
          <w:lang w:eastAsia="hr-HR"/>
        </w:rPr>
        <w:t>182,6</w:t>
      </w:r>
      <w:r w:rsidR="00BD2906" w:rsidRPr="00A17B6F">
        <w:rPr>
          <w:rFonts w:ascii="Arial" w:eastAsia="Times New Roman" w:hAnsi="Arial" w:cs="Arial"/>
          <w:sz w:val="24"/>
          <w:szCs w:val="24"/>
          <w:lang w:eastAsia="hr-HR"/>
        </w:rPr>
        <w:t xml:space="preserve">% </w:t>
      </w:r>
      <w:r w:rsidR="00134A3A" w:rsidRPr="00A17B6F">
        <w:rPr>
          <w:rFonts w:ascii="Arial" w:eastAsia="Times New Roman" w:hAnsi="Arial" w:cs="Arial"/>
          <w:sz w:val="24"/>
          <w:szCs w:val="24"/>
          <w:lang w:eastAsia="hr-HR"/>
        </w:rPr>
        <w:t>više</w:t>
      </w:r>
      <w:r w:rsidR="00BD2906" w:rsidRPr="00A17B6F">
        <w:rPr>
          <w:rFonts w:ascii="Arial" w:eastAsia="Times New Roman" w:hAnsi="Arial" w:cs="Arial"/>
          <w:sz w:val="24"/>
          <w:szCs w:val="24"/>
          <w:lang w:eastAsia="hr-HR"/>
        </w:rPr>
        <w:t xml:space="preserve"> u odnosu na isto razdoblje prethodne godine. Isto tako, od ukupno navedenog iznosa naplate </w:t>
      </w:r>
      <w:r w:rsidR="00174107" w:rsidRPr="00A17B6F">
        <w:rPr>
          <w:rFonts w:ascii="Arial" w:eastAsia="Times New Roman" w:hAnsi="Arial" w:cs="Arial"/>
          <w:sz w:val="24"/>
          <w:szCs w:val="24"/>
          <w:lang w:eastAsia="hr-HR"/>
        </w:rPr>
        <w:t>navedenih prihoda za provedbu EU projekata u prvoj polovici 202</w:t>
      </w:r>
      <w:r w:rsidR="00134A3A" w:rsidRPr="00A17B6F">
        <w:rPr>
          <w:rFonts w:ascii="Arial" w:eastAsia="Times New Roman" w:hAnsi="Arial" w:cs="Arial"/>
          <w:sz w:val="24"/>
          <w:szCs w:val="24"/>
          <w:lang w:eastAsia="hr-HR"/>
        </w:rPr>
        <w:t>4</w:t>
      </w:r>
      <w:r w:rsidR="00174107" w:rsidRPr="00A17B6F">
        <w:rPr>
          <w:rFonts w:ascii="Arial" w:eastAsia="Times New Roman" w:hAnsi="Arial" w:cs="Arial"/>
          <w:sz w:val="24"/>
          <w:szCs w:val="24"/>
          <w:lang w:eastAsia="hr-HR"/>
        </w:rPr>
        <w:t xml:space="preserve">. godine, </w:t>
      </w:r>
      <w:r w:rsidR="00134A3A" w:rsidRPr="00A17B6F">
        <w:rPr>
          <w:rFonts w:ascii="Arial" w:eastAsia="Times New Roman" w:hAnsi="Arial" w:cs="Arial"/>
          <w:sz w:val="24"/>
          <w:szCs w:val="24"/>
          <w:lang w:eastAsia="hr-HR"/>
        </w:rPr>
        <w:t>815.897,55</w:t>
      </w:r>
      <w:r w:rsidR="00174107" w:rsidRPr="00A17B6F">
        <w:rPr>
          <w:rFonts w:ascii="Arial" w:eastAsia="Times New Roman" w:hAnsi="Arial" w:cs="Arial"/>
          <w:sz w:val="24"/>
          <w:szCs w:val="24"/>
          <w:lang w:eastAsia="hr-HR"/>
        </w:rPr>
        <w:t xml:space="preserve"> eura se odnosi na prihode Županije, a </w:t>
      </w:r>
      <w:r w:rsidR="00134A3A" w:rsidRPr="00A17B6F">
        <w:rPr>
          <w:rFonts w:ascii="Arial" w:eastAsia="Times New Roman" w:hAnsi="Arial" w:cs="Arial"/>
          <w:sz w:val="24"/>
          <w:szCs w:val="24"/>
          <w:lang w:eastAsia="hr-HR"/>
        </w:rPr>
        <w:t>6.685.075,76</w:t>
      </w:r>
      <w:r w:rsidR="00174107" w:rsidRPr="00A17B6F">
        <w:rPr>
          <w:rFonts w:ascii="Arial" w:eastAsia="Times New Roman" w:hAnsi="Arial" w:cs="Arial"/>
          <w:sz w:val="24"/>
          <w:szCs w:val="24"/>
          <w:lang w:eastAsia="hr-HR"/>
        </w:rPr>
        <w:t xml:space="preserve"> eura na prihode proračunskih korisnika.</w:t>
      </w:r>
    </w:p>
    <w:p w14:paraId="6F29BB36" w14:textId="77777777" w:rsidR="00BD2906" w:rsidRPr="00A17B6F" w:rsidRDefault="00BD2906" w:rsidP="00966DDB">
      <w:pPr>
        <w:spacing w:after="0" w:line="240" w:lineRule="auto"/>
        <w:ind w:firstLine="360"/>
        <w:jc w:val="both"/>
        <w:rPr>
          <w:rFonts w:ascii="Arial" w:eastAsia="Times New Roman" w:hAnsi="Arial" w:cs="Arial"/>
          <w:sz w:val="24"/>
          <w:szCs w:val="24"/>
          <w:lang w:eastAsia="hr-HR"/>
        </w:rPr>
      </w:pPr>
    </w:p>
    <w:p w14:paraId="537DAB5C" w14:textId="767FF54D" w:rsidR="00966DDB" w:rsidRPr="00A17B6F" w:rsidRDefault="00966DDB" w:rsidP="00966DDB">
      <w:pPr>
        <w:spacing w:after="0" w:line="240" w:lineRule="auto"/>
        <w:ind w:firstLine="709"/>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Primorsko-goranska županija </w:t>
      </w:r>
      <w:r w:rsidR="003E2DC7" w:rsidRPr="00A17B6F">
        <w:rPr>
          <w:rFonts w:ascii="Arial" w:eastAsia="Times New Roman" w:hAnsi="Arial" w:cs="Arial"/>
          <w:sz w:val="24"/>
          <w:szCs w:val="24"/>
          <w:lang w:eastAsia="hr-HR"/>
        </w:rPr>
        <w:t>je u</w:t>
      </w:r>
      <w:r w:rsidR="007473F7" w:rsidRPr="00A17B6F">
        <w:rPr>
          <w:rFonts w:ascii="Arial" w:eastAsia="Times New Roman" w:hAnsi="Arial" w:cs="Arial"/>
          <w:sz w:val="24"/>
          <w:szCs w:val="24"/>
          <w:lang w:eastAsia="hr-HR"/>
        </w:rPr>
        <w:t xml:space="preserve"> prvoj polovici</w:t>
      </w:r>
      <w:r w:rsidR="003E2DC7" w:rsidRPr="00A17B6F">
        <w:rPr>
          <w:rFonts w:ascii="Arial" w:eastAsia="Times New Roman" w:hAnsi="Arial" w:cs="Arial"/>
          <w:sz w:val="24"/>
          <w:szCs w:val="24"/>
          <w:lang w:eastAsia="hr-HR"/>
        </w:rPr>
        <w:t xml:space="preserve"> 202</w:t>
      </w:r>
      <w:r w:rsidR="00134A3A" w:rsidRPr="00A17B6F">
        <w:rPr>
          <w:rFonts w:ascii="Arial" w:eastAsia="Times New Roman" w:hAnsi="Arial" w:cs="Arial"/>
          <w:sz w:val="24"/>
          <w:szCs w:val="24"/>
          <w:lang w:eastAsia="hr-HR"/>
        </w:rPr>
        <w:t>4</w:t>
      </w:r>
      <w:r w:rsidR="003E2DC7" w:rsidRPr="00A17B6F">
        <w:rPr>
          <w:rFonts w:ascii="Arial" w:eastAsia="Times New Roman" w:hAnsi="Arial" w:cs="Arial"/>
          <w:sz w:val="24"/>
          <w:szCs w:val="24"/>
          <w:lang w:eastAsia="hr-HR"/>
        </w:rPr>
        <w:t>. godin</w:t>
      </w:r>
      <w:r w:rsidR="007473F7" w:rsidRPr="00A17B6F">
        <w:rPr>
          <w:rFonts w:ascii="Arial" w:eastAsia="Times New Roman" w:hAnsi="Arial" w:cs="Arial"/>
          <w:sz w:val="24"/>
          <w:szCs w:val="24"/>
          <w:lang w:eastAsia="hr-HR"/>
        </w:rPr>
        <w:t>e</w:t>
      </w:r>
      <w:r w:rsidR="003E2DC7" w:rsidRPr="00A17B6F">
        <w:rPr>
          <w:rFonts w:ascii="Arial" w:eastAsia="Times New Roman" w:hAnsi="Arial" w:cs="Arial"/>
          <w:sz w:val="24"/>
          <w:szCs w:val="24"/>
          <w:lang w:eastAsia="hr-HR"/>
        </w:rPr>
        <w:t xml:space="preserve"> </w:t>
      </w:r>
      <w:r w:rsidR="000E662E" w:rsidRPr="00A17B6F">
        <w:rPr>
          <w:rFonts w:ascii="Arial" w:eastAsia="Times New Roman" w:hAnsi="Arial" w:cs="Arial"/>
          <w:sz w:val="24"/>
          <w:szCs w:val="24"/>
          <w:lang w:eastAsia="hr-HR"/>
        </w:rPr>
        <w:t>ostvarila prihode u sklopu sljedećih EU projekata</w:t>
      </w:r>
      <w:r w:rsidRPr="00A17B6F">
        <w:rPr>
          <w:rFonts w:ascii="Arial" w:eastAsia="Times New Roman" w:hAnsi="Arial" w:cs="Arial"/>
          <w:sz w:val="24"/>
          <w:szCs w:val="24"/>
          <w:lang w:eastAsia="hr-HR"/>
        </w:rPr>
        <w:t>:</w:t>
      </w:r>
    </w:p>
    <w:p w14:paraId="1723B7EC" w14:textId="77777777" w:rsidR="00966DDB" w:rsidRPr="00A17B6F" w:rsidRDefault="00966DDB" w:rsidP="00966DDB">
      <w:pPr>
        <w:spacing w:after="0" w:line="240" w:lineRule="auto"/>
        <w:ind w:firstLine="709"/>
        <w:jc w:val="both"/>
        <w:rPr>
          <w:rFonts w:ascii="Arial" w:eastAsia="Times New Roman" w:hAnsi="Arial" w:cs="Arial"/>
          <w:sz w:val="24"/>
          <w:szCs w:val="24"/>
          <w:lang w:eastAsia="hr-HR"/>
        </w:rPr>
      </w:pPr>
    </w:p>
    <w:tbl>
      <w:tblPr>
        <w:tblW w:w="9214" w:type="dxa"/>
        <w:tblLook w:val="04A0" w:firstRow="1" w:lastRow="0" w:firstColumn="1" w:lastColumn="0" w:noHBand="0" w:noVBand="1"/>
      </w:tblPr>
      <w:tblGrid>
        <w:gridCol w:w="709"/>
        <w:gridCol w:w="1860"/>
        <w:gridCol w:w="6645"/>
      </w:tblGrid>
      <w:tr w:rsidR="000E662E" w:rsidRPr="00A17B6F" w14:paraId="375A3812" w14:textId="77777777" w:rsidTr="00CB272E">
        <w:trPr>
          <w:trHeight w:val="315"/>
        </w:trPr>
        <w:tc>
          <w:tcPr>
            <w:tcW w:w="709" w:type="dxa"/>
            <w:tcBorders>
              <w:top w:val="nil"/>
              <w:left w:val="nil"/>
              <w:bottom w:val="nil"/>
              <w:right w:val="nil"/>
            </w:tcBorders>
          </w:tcPr>
          <w:p w14:paraId="03A7BBC8" w14:textId="77777777" w:rsidR="000E662E" w:rsidRPr="00A17B6F" w:rsidRDefault="000E662E" w:rsidP="00966DDB">
            <w:pPr>
              <w:numPr>
                <w:ilvl w:val="0"/>
                <w:numId w:val="14"/>
              </w:numPr>
              <w:spacing w:after="0" w:line="240" w:lineRule="auto"/>
              <w:contextualSpacing/>
              <w:jc w:val="right"/>
              <w:rPr>
                <w:rFonts w:ascii="Arial" w:eastAsia="Times New Roman" w:hAnsi="Arial" w:cs="Arial"/>
                <w:color w:val="000000"/>
                <w:sz w:val="24"/>
                <w:szCs w:val="24"/>
                <w:lang w:eastAsia="hr-HR"/>
              </w:rPr>
            </w:pPr>
          </w:p>
        </w:tc>
        <w:tc>
          <w:tcPr>
            <w:tcW w:w="1860" w:type="dxa"/>
            <w:tcBorders>
              <w:top w:val="nil"/>
              <w:left w:val="nil"/>
              <w:bottom w:val="nil"/>
              <w:right w:val="nil"/>
            </w:tcBorders>
            <w:shd w:val="clear" w:color="auto" w:fill="auto"/>
            <w:noWrap/>
            <w:vAlign w:val="center"/>
          </w:tcPr>
          <w:p w14:paraId="54DB98BC" w14:textId="7FA4FD73" w:rsidR="000E662E" w:rsidRPr="00A17B6F" w:rsidRDefault="00045340" w:rsidP="00966DDB">
            <w:pPr>
              <w:spacing w:after="0" w:line="240" w:lineRule="auto"/>
              <w:jc w:val="right"/>
              <w:rPr>
                <w:rFonts w:ascii="Arial" w:eastAsia="Times New Roman" w:hAnsi="Arial" w:cs="Arial"/>
                <w:color w:val="000000"/>
                <w:sz w:val="24"/>
                <w:szCs w:val="24"/>
                <w:lang w:eastAsia="hr-HR"/>
              </w:rPr>
            </w:pPr>
            <w:r w:rsidRPr="00A17B6F">
              <w:rPr>
                <w:rFonts w:ascii="Arial" w:eastAsia="Times New Roman" w:hAnsi="Arial" w:cs="Arial"/>
                <w:color w:val="000000"/>
                <w:sz w:val="24"/>
                <w:szCs w:val="24"/>
                <w:lang w:eastAsia="hr-HR"/>
              </w:rPr>
              <w:t>411.328,02</w:t>
            </w:r>
          </w:p>
        </w:tc>
        <w:tc>
          <w:tcPr>
            <w:tcW w:w="6645" w:type="dxa"/>
            <w:tcBorders>
              <w:top w:val="nil"/>
              <w:left w:val="nil"/>
              <w:bottom w:val="nil"/>
              <w:right w:val="nil"/>
            </w:tcBorders>
            <w:shd w:val="clear" w:color="auto" w:fill="auto"/>
            <w:noWrap/>
            <w:vAlign w:val="center"/>
          </w:tcPr>
          <w:p w14:paraId="077F3D2A" w14:textId="22DAD199" w:rsidR="000E662E" w:rsidRPr="00A17B6F" w:rsidRDefault="00045340" w:rsidP="000E662E">
            <w:pPr>
              <w:spacing w:after="0" w:line="240" w:lineRule="auto"/>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eura za projekt </w:t>
            </w:r>
            <w:proofErr w:type="spellStart"/>
            <w:r w:rsidRPr="00A17B6F">
              <w:rPr>
                <w:rFonts w:ascii="Arial" w:eastAsia="Times New Roman" w:hAnsi="Arial" w:cs="Arial"/>
                <w:sz w:val="24"/>
                <w:szCs w:val="24"/>
                <w:lang w:eastAsia="hr-HR"/>
              </w:rPr>
              <w:t>AdriProm</w:t>
            </w:r>
            <w:proofErr w:type="spellEnd"/>
            <w:r w:rsidRPr="00A17B6F">
              <w:rPr>
                <w:rFonts w:ascii="Arial" w:eastAsia="Times New Roman" w:hAnsi="Arial" w:cs="Arial"/>
                <w:sz w:val="24"/>
                <w:szCs w:val="24"/>
                <w:lang w:eastAsia="hr-HR"/>
              </w:rPr>
              <w:t xml:space="preserve"> Tour</w:t>
            </w:r>
          </w:p>
        </w:tc>
      </w:tr>
      <w:tr w:rsidR="000E662E" w:rsidRPr="00A17B6F" w14:paraId="4EE14730" w14:textId="77777777" w:rsidTr="00CB272E">
        <w:trPr>
          <w:trHeight w:val="315"/>
        </w:trPr>
        <w:tc>
          <w:tcPr>
            <w:tcW w:w="709" w:type="dxa"/>
            <w:tcBorders>
              <w:top w:val="nil"/>
              <w:left w:val="nil"/>
              <w:bottom w:val="nil"/>
              <w:right w:val="nil"/>
            </w:tcBorders>
          </w:tcPr>
          <w:p w14:paraId="0F645DE4" w14:textId="77777777" w:rsidR="000E662E" w:rsidRPr="00A17B6F" w:rsidRDefault="000E662E" w:rsidP="00966DDB">
            <w:pPr>
              <w:numPr>
                <w:ilvl w:val="0"/>
                <w:numId w:val="14"/>
              </w:numPr>
              <w:spacing w:after="0" w:line="240" w:lineRule="auto"/>
              <w:contextualSpacing/>
              <w:jc w:val="right"/>
              <w:rPr>
                <w:rFonts w:ascii="Arial" w:eastAsia="Times New Roman" w:hAnsi="Arial" w:cs="Arial"/>
                <w:color w:val="000000"/>
                <w:sz w:val="24"/>
                <w:szCs w:val="24"/>
                <w:lang w:eastAsia="hr-HR"/>
              </w:rPr>
            </w:pPr>
          </w:p>
        </w:tc>
        <w:tc>
          <w:tcPr>
            <w:tcW w:w="1860" w:type="dxa"/>
            <w:tcBorders>
              <w:top w:val="nil"/>
              <w:left w:val="nil"/>
              <w:bottom w:val="nil"/>
              <w:right w:val="nil"/>
            </w:tcBorders>
            <w:shd w:val="clear" w:color="auto" w:fill="auto"/>
            <w:noWrap/>
            <w:vAlign w:val="center"/>
          </w:tcPr>
          <w:p w14:paraId="1872BD30" w14:textId="3363995F" w:rsidR="000E662E" w:rsidRPr="00A17B6F" w:rsidRDefault="00045340" w:rsidP="00966DDB">
            <w:pPr>
              <w:spacing w:after="0" w:line="240" w:lineRule="auto"/>
              <w:jc w:val="right"/>
              <w:rPr>
                <w:rFonts w:ascii="Arial" w:eastAsia="Times New Roman" w:hAnsi="Arial" w:cs="Arial"/>
                <w:color w:val="000000"/>
                <w:sz w:val="24"/>
                <w:szCs w:val="24"/>
                <w:lang w:eastAsia="hr-HR"/>
              </w:rPr>
            </w:pPr>
            <w:r w:rsidRPr="00A17B6F">
              <w:rPr>
                <w:rFonts w:ascii="Arial" w:eastAsia="Times New Roman" w:hAnsi="Arial" w:cs="Arial"/>
                <w:color w:val="000000"/>
                <w:sz w:val="24"/>
                <w:szCs w:val="24"/>
                <w:lang w:eastAsia="hr-HR"/>
              </w:rPr>
              <w:t>174.093,35</w:t>
            </w:r>
          </w:p>
        </w:tc>
        <w:tc>
          <w:tcPr>
            <w:tcW w:w="6645" w:type="dxa"/>
            <w:tcBorders>
              <w:top w:val="nil"/>
              <w:left w:val="nil"/>
              <w:bottom w:val="nil"/>
              <w:right w:val="nil"/>
            </w:tcBorders>
            <w:shd w:val="clear" w:color="auto" w:fill="auto"/>
            <w:noWrap/>
            <w:vAlign w:val="center"/>
          </w:tcPr>
          <w:p w14:paraId="04D08740" w14:textId="36A49339" w:rsidR="000E662E" w:rsidRPr="00A17B6F" w:rsidRDefault="000E662E" w:rsidP="000E662E">
            <w:pPr>
              <w:spacing w:after="0" w:line="240" w:lineRule="auto"/>
              <w:rPr>
                <w:rFonts w:ascii="Arial" w:eastAsia="Times New Roman" w:hAnsi="Arial" w:cs="Arial"/>
                <w:sz w:val="24"/>
                <w:szCs w:val="24"/>
                <w:lang w:eastAsia="hr-HR"/>
              </w:rPr>
            </w:pPr>
            <w:r w:rsidRPr="00A17B6F">
              <w:rPr>
                <w:rFonts w:ascii="Arial" w:eastAsia="Times New Roman" w:hAnsi="Arial" w:cs="Arial"/>
                <w:sz w:val="24"/>
                <w:szCs w:val="24"/>
                <w:lang w:eastAsia="hr-HR"/>
              </w:rPr>
              <w:t>eura za projekt FRAMESPORT</w:t>
            </w:r>
          </w:p>
        </w:tc>
      </w:tr>
      <w:tr w:rsidR="00045340" w:rsidRPr="00A17B6F" w14:paraId="22677342" w14:textId="77777777" w:rsidTr="00DF0E26">
        <w:trPr>
          <w:trHeight w:val="315"/>
        </w:trPr>
        <w:tc>
          <w:tcPr>
            <w:tcW w:w="709" w:type="dxa"/>
            <w:tcBorders>
              <w:top w:val="nil"/>
              <w:left w:val="nil"/>
              <w:bottom w:val="nil"/>
              <w:right w:val="nil"/>
            </w:tcBorders>
          </w:tcPr>
          <w:p w14:paraId="6C936B12" w14:textId="77777777" w:rsidR="00045340" w:rsidRPr="00A17B6F" w:rsidRDefault="00045340" w:rsidP="000E662E">
            <w:pPr>
              <w:numPr>
                <w:ilvl w:val="0"/>
                <w:numId w:val="14"/>
              </w:numPr>
              <w:spacing w:after="0" w:line="240" w:lineRule="auto"/>
              <w:contextualSpacing/>
              <w:jc w:val="right"/>
              <w:rPr>
                <w:rFonts w:ascii="Arial" w:eastAsia="Times New Roman" w:hAnsi="Arial" w:cs="Arial"/>
                <w:color w:val="000000"/>
                <w:sz w:val="24"/>
                <w:szCs w:val="24"/>
                <w:lang w:eastAsia="hr-HR"/>
              </w:rPr>
            </w:pPr>
          </w:p>
        </w:tc>
        <w:tc>
          <w:tcPr>
            <w:tcW w:w="1860" w:type="dxa"/>
            <w:tcBorders>
              <w:top w:val="nil"/>
              <w:left w:val="nil"/>
              <w:bottom w:val="nil"/>
              <w:right w:val="nil"/>
            </w:tcBorders>
            <w:shd w:val="clear" w:color="auto" w:fill="auto"/>
            <w:noWrap/>
            <w:vAlign w:val="center"/>
          </w:tcPr>
          <w:p w14:paraId="6E7F763D" w14:textId="5E53CF84" w:rsidR="00045340" w:rsidRPr="00A17B6F" w:rsidRDefault="00045340" w:rsidP="00DF0E26">
            <w:pPr>
              <w:spacing w:after="0" w:line="240" w:lineRule="auto"/>
              <w:jc w:val="right"/>
              <w:rPr>
                <w:rFonts w:ascii="Arial" w:eastAsia="Times New Roman" w:hAnsi="Arial" w:cs="Arial"/>
                <w:color w:val="000000"/>
                <w:sz w:val="24"/>
                <w:szCs w:val="24"/>
                <w:lang w:eastAsia="hr-HR"/>
              </w:rPr>
            </w:pPr>
            <w:r w:rsidRPr="00A17B6F">
              <w:rPr>
                <w:rFonts w:ascii="Arial" w:eastAsia="Times New Roman" w:hAnsi="Arial" w:cs="Arial"/>
                <w:color w:val="000000"/>
                <w:sz w:val="24"/>
                <w:szCs w:val="24"/>
                <w:lang w:eastAsia="hr-HR"/>
              </w:rPr>
              <w:t>125.800,00</w:t>
            </w:r>
          </w:p>
        </w:tc>
        <w:tc>
          <w:tcPr>
            <w:tcW w:w="6645" w:type="dxa"/>
            <w:tcBorders>
              <w:top w:val="nil"/>
              <w:left w:val="nil"/>
              <w:bottom w:val="nil"/>
              <w:right w:val="nil"/>
            </w:tcBorders>
            <w:shd w:val="clear" w:color="auto" w:fill="auto"/>
            <w:noWrap/>
            <w:vAlign w:val="center"/>
          </w:tcPr>
          <w:p w14:paraId="2AE80729" w14:textId="2D7E0078" w:rsidR="00045340" w:rsidRPr="00A17B6F" w:rsidRDefault="00045340" w:rsidP="00DF0E26">
            <w:pPr>
              <w:spacing w:after="0" w:line="240" w:lineRule="auto"/>
              <w:rPr>
                <w:rFonts w:ascii="Arial" w:eastAsia="Times New Roman" w:hAnsi="Arial" w:cs="Arial"/>
                <w:sz w:val="24"/>
                <w:szCs w:val="24"/>
                <w:lang w:eastAsia="hr-HR"/>
              </w:rPr>
            </w:pPr>
            <w:r w:rsidRPr="00A17B6F">
              <w:rPr>
                <w:rFonts w:ascii="Arial" w:eastAsia="Times New Roman" w:hAnsi="Arial" w:cs="Arial"/>
                <w:sz w:val="24"/>
                <w:szCs w:val="24"/>
                <w:lang w:eastAsia="hr-HR"/>
              </w:rPr>
              <w:t>eura za projekt Pomoćnici u nastavi</w:t>
            </w:r>
          </w:p>
        </w:tc>
      </w:tr>
      <w:tr w:rsidR="000E662E" w:rsidRPr="00A17B6F" w14:paraId="49462CFD" w14:textId="77777777" w:rsidTr="00DF0E26">
        <w:trPr>
          <w:trHeight w:val="315"/>
        </w:trPr>
        <w:tc>
          <w:tcPr>
            <w:tcW w:w="709" w:type="dxa"/>
            <w:tcBorders>
              <w:top w:val="nil"/>
              <w:left w:val="nil"/>
              <w:bottom w:val="nil"/>
              <w:right w:val="nil"/>
            </w:tcBorders>
          </w:tcPr>
          <w:p w14:paraId="618CE947" w14:textId="77777777" w:rsidR="000E662E" w:rsidRPr="00A17B6F" w:rsidRDefault="000E662E" w:rsidP="000E662E">
            <w:pPr>
              <w:numPr>
                <w:ilvl w:val="0"/>
                <w:numId w:val="14"/>
              </w:numPr>
              <w:spacing w:after="0" w:line="240" w:lineRule="auto"/>
              <w:contextualSpacing/>
              <w:jc w:val="right"/>
              <w:rPr>
                <w:rFonts w:ascii="Arial" w:eastAsia="Times New Roman" w:hAnsi="Arial" w:cs="Arial"/>
                <w:color w:val="000000"/>
                <w:sz w:val="24"/>
                <w:szCs w:val="24"/>
                <w:lang w:eastAsia="hr-HR"/>
              </w:rPr>
            </w:pPr>
          </w:p>
        </w:tc>
        <w:tc>
          <w:tcPr>
            <w:tcW w:w="1860" w:type="dxa"/>
            <w:tcBorders>
              <w:top w:val="nil"/>
              <w:left w:val="nil"/>
              <w:bottom w:val="nil"/>
              <w:right w:val="nil"/>
            </w:tcBorders>
            <w:shd w:val="clear" w:color="auto" w:fill="auto"/>
            <w:noWrap/>
            <w:vAlign w:val="center"/>
            <w:hideMark/>
          </w:tcPr>
          <w:p w14:paraId="75DE4193" w14:textId="63C766AB" w:rsidR="000E662E" w:rsidRPr="00A17B6F" w:rsidRDefault="00045340" w:rsidP="00DF0E26">
            <w:pPr>
              <w:spacing w:after="0" w:line="240" w:lineRule="auto"/>
              <w:jc w:val="right"/>
              <w:rPr>
                <w:rFonts w:ascii="Arial" w:eastAsia="Times New Roman" w:hAnsi="Arial" w:cs="Arial"/>
                <w:color w:val="000000"/>
                <w:sz w:val="24"/>
                <w:szCs w:val="24"/>
                <w:lang w:eastAsia="hr-HR"/>
              </w:rPr>
            </w:pPr>
            <w:r w:rsidRPr="00A17B6F">
              <w:rPr>
                <w:rFonts w:ascii="Arial" w:eastAsia="Times New Roman" w:hAnsi="Arial" w:cs="Arial"/>
                <w:color w:val="000000"/>
                <w:sz w:val="24"/>
                <w:szCs w:val="24"/>
                <w:lang w:eastAsia="hr-HR"/>
              </w:rPr>
              <w:t>91.964,14</w:t>
            </w:r>
          </w:p>
        </w:tc>
        <w:tc>
          <w:tcPr>
            <w:tcW w:w="6645" w:type="dxa"/>
            <w:tcBorders>
              <w:top w:val="nil"/>
              <w:left w:val="nil"/>
              <w:bottom w:val="nil"/>
              <w:right w:val="nil"/>
            </w:tcBorders>
            <w:shd w:val="clear" w:color="auto" w:fill="auto"/>
            <w:noWrap/>
            <w:vAlign w:val="center"/>
            <w:hideMark/>
          </w:tcPr>
          <w:p w14:paraId="6A869D1C" w14:textId="5B46E2A9" w:rsidR="000E662E" w:rsidRPr="00A17B6F" w:rsidRDefault="000E662E" w:rsidP="00DF0E26">
            <w:pPr>
              <w:spacing w:after="0" w:line="240" w:lineRule="auto"/>
              <w:rPr>
                <w:rFonts w:ascii="Arial" w:eastAsia="Times New Roman" w:hAnsi="Arial" w:cs="Arial"/>
                <w:sz w:val="24"/>
                <w:szCs w:val="24"/>
                <w:lang w:eastAsia="hr-HR"/>
              </w:rPr>
            </w:pPr>
            <w:r w:rsidRPr="00A17B6F">
              <w:rPr>
                <w:rFonts w:ascii="Arial" w:eastAsia="Times New Roman" w:hAnsi="Arial" w:cs="Arial"/>
                <w:sz w:val="24"/>
                <w:szCs w:val="24"/>
                <w:lang w:eastAsia="hr-HR"/>
              </w:rPr>
              <w:t>eura za projekt ARGOS</w:t>
            </w:r>
          </w:p>
        </w:tc>
      </w:tr>
      <w:tr w:rsidR="00045340" w:rsidRPr="00A17B6F" w14:paraId="0E2F6A17" w14:textId="77777777" w:rsidTr="00CB272E">
        <w:trPr>
          <w:trHeight w:val="315"/>
        </w:trPr>
        <w:tc>
          <w:tcPr>
            <w:tcW w:w="709" w:type="dxa"/>
            <w:tcBorders>
              <w:top w:val="nil"/>
              <w:left w:val="nil"/>
              <w:bottom w:val="nil"/>
              <w:right w:val="nil"/>
            </w:tcBorders>
          </w:tcPr>
          <w:p w14:paraId="6B8D3710" w14:textId="77777777" w:rsidR="00045340" w:rsidRPr="00A17B6F" w:rsidRDefault="00045340" w:rsidP="00966DDB">
            <w:pPr>
              <w:numPr>
                <w:ilvl w:val="0"/>
                <w:numId w:val="14"/>
              </w:numPr>
              <w:spacing w:after="0" w:line="240" w:lineRule="auto"/>
              <w:contextualSpacing/>
              <w:jc w:val="right"/>
              <w:rPr>
                <w:rFonts w:ascii="Arial" w:eastAsia="Times New Roman" w:hAnsi="Arial" w:cs="Arial"/>
                <w:color w:val="000000"/>
                <w:sz w:val="24"/>
                <w:szCs w:val="24"/>
                <w:lang w:eastAsia="hr-HR"/>
              </w:rPr>
            </w:pPr>
          </w:p>
        </w:tc>
        <w:tc>
          <w:tcPr>
            <w:tcW w:w="1860" w:type="dxa"/>
            <w:tcBorders>
              <w:top w:val="nil"/>
              <w:left w:val="nil"/>
              <w:bottom w:val="nil"/>
              <w:right w:val="nil"/>
            </w:tcBorders>
            <w:shd w:val="clear" w:color="auto" w:fill="auto"/>
            <w:noWrap/>
            <w:vAlign w:val="center"/>
          </w:tcPr>
          <w:p w14:paraId="23863F4D" w14:textId="57C63F09" w:rsidR="00045340" w:rsidRPr="00A17B6F" w:rsidRDefault="00045340" w:rsidP="00966DDB">
            <w:pPr>
              <w:spacing w:after="0" w:line="240" w:lineRule="auto"/>
              <w:jc w:val="right"/>
              <w:rPr>
                <w:rFonts w:ascii="Arial" w:eastAsia="Times New Roman" w:hAnsi="Arial" w:cs="Arial"/>
                <w:color w:val="000000"/>
                <w:sz w:val="24"/>
                <w:szCs w:val="24"/>
                <w:lang w:eastAsia="hr-HR"/>
              </w:rPr>
            </w:pPr>
            <w:r w:rsidRPr="00A17B6F">
              <w:rPr>
                <w:rFonts w:ascii="Arial" w:eastAsia="Times New Roman" w:hAnsi="Arial" w:cs="Arial"/>
                <w:color w:val="000000"/>
                <w:sz w:val="24"/>
                <w:szCs w:val="24"/>
                <w:lang w:eastAsia="hr-HR"/>
              </w:rPr>
              <w:t>7.912,04</w:t>
            </w:r>
          </w:p>
        </w:tc>
        <w:tc>
          <w:tcPr>
            <w:tcW w:w="6645" w:type="dxa"/>
            <w:tcBorders>
              <w:top w:val="nil"/>
              <w:left w:val="nil"/>
              <w:bottom w:val="nil"/>
              <w:right w:val="nil"/>
            </w:tcBorders>
            <w:shd w:val="clear" w:color="auto" w:fill="auto"/>
            <w:noWrap/>
            <w:vAlign w:val="center"/>
          </w:tcPr>
          <w:p w14:paraId="70372265" w14:textId="2ED6F8EE" w:rsidR="00045340" w:rsidRPr="00A17B6F" w:rsidRDefault="00045340" w:rsidP="00045340">
            <w:pPr>
              <w:spacing w:after="0" w:line="240" w:lineRule="auto"/>
              <w:rPr>
                <w:rFonts w:ascii="Arial" w:eastAsia="Times New Roman" w:hAnsi="Arial" w:cs="Arial"/>
                <w:sz w:val="24"/>
                <w:szCs w:val="24"/>
                <w:lang w:eastAsia="hr-HR"/>
              </w:rPr>
            </w:pPr>
            <w:r w:rsidRPr="00A17B6F">
              <w:rPr>
                <w:rFonts w:ascii="Arial" w:eastAsia="Times New Roman" w:hAnsi="Arial" w:cs="Arial"/>
                <w:sz w:val="24"/>
                <w:szCs w:val="24"/>
                <w:lang w:eastAsia="hr-HR"/>
              </w:rPr>
              <w:t>eura za projekt  Školska shema</w:t>
            </w:r>
          </w:p>
        </w:tc>
      </w:tr>
      <w:tr w:rsidR="000E662E" w:rsidRPr="00A17B6F" w14:paraId="5BB9BFFC" w14:textId="77777777" w:rsidTr="00CB272E">
        <w:trPr>
          <w:trHeight w:val="315"/>
        </w:trPr>
        <w:tc>
          <w:tcPr>
            <w:tcW w:w="709" w:type="dxa"/>
            <w:tcBorders>
              <w:top w:val="nil"/>
              <w:left w:val="nil"/>
              <w:bottom w:val="nil"/>
              <w:right w:val="nil"/>
            </w:tcBorders>
          </w:tcPr>
          <w:p w14:paraId="4D0B8F9A" w14:textId="77777777" w:rsidR="000E662E" w:rsidRPr="00A17B6F" w:rsidRDefault="000E662E" w:rsidP="00966DDB">
            <w:pPr>
              <w:numPr>
                <w:ilvl w:val="0"/>
                <w:numId w:val="14"/>
              </w:numPr>
              <w:spacing w:after="0" w:line="240" w:lineRule="auto"/>
              <w:contextualSpacing/>
              <w:jc w:val="right"/>
              <w:rPr>
                <w:rFonts w:ascii="Arial" w:eastAsia="Times New Roman" w:hAnsi="Arial" w:cs="Arial"/>
                <w:color w:val="000000"/>
                <w:sz w:val="24"/>
                <w:szCs w:val="24"/>
                <w:lang w:eastAsia="hr-HR"/>
              </w:rPr>
            </w:pPr>
          </w:p>
        </w:tc>
        <w:tc>
          <w:tcPr>
            <w:tcW w:w="1860" w:type="dxa"/>
            <w:tcBorders>
              <w:top w:val="nil"/>
              <w:left w:val="nil"/>
              <w:bottom w:val="nil"/>
              <w:right w:val="nil"/>
            </w:tcBorders>
            <w:shd w:val="clear" w:color="auto" w:fill="auto"/>
            <w:noWrap/>
            <w:vAlign w:val="center"/>
          </w:tcPr>
          <w:p w14:paraId="4F90DF36" w14:textId="3AFBDB7E" w:rsidR="000E662E" w:rsidRPr="00A17B6F" w:rsidRDefault="00045340" w:rsidP="00966DDB">
            <w:pPr>
              <w:spacing w:after="0" w:line="240" w:lineRule="auto"/>
              <w:jc w:val="right"/>
              <w:rPr>
                <w:rFonts w:ascii="Arial" w:eastAsia="Times New Roman" w:hAnsi="Arial" w:cs="Arial"/>
                <w:color w:val="000000"/>
                <w:sz w:val="24"/>
                <w:szCs w:val="24"/>
                <w:lang w:eastAsia="hr-HR"/>
              </w:rPr>
            </w:pPr>
            <w:r w:rsidRPr="00A17B6F">
              <w:rPr>
                <w:rFonts w:ascii="Arial" w:eastAsia="Times New Roman" w:hAnsi="Arial" w:cs="Arial"/>
                <w:color w:val="000000"/>
                <w:sz w:val="24"/>
                <w:szCs w:val="24"/>
                <w:lang w:eastAsia="hr-HR"/>
              </w:rPr>
              <w:t>4.800,00</w:t>
            </w:r>
          </w:p>
        </w:tc>
        <w:tc>
          <w:tcPr>
            <w:tcW w:w="6645" w:type="dxa"/>
            <w:tcBorders>
              <w:top w:val="nil"/>
              <w:left w:val="nil"/>
              <w:bottom w:val="nil"/>
              <w:right w:val="nil"/>
            </w:tcBorders>
            <w:shd w:val="clear" w:color="auto" w:fill="auto"/>
            <w:noWrap/>
            <w:vAlign w:val="center"/>
          </w:tcPr>
          <w:p w14:paraId="03CFF369" w14:textId="37BF6CDC" w:rsidR="000E662E" w:rsidRPr="00A17B6F" w:rsidRDefault="000E662E" w:rsidP="00045340">
            <w:pPr>
              <w:spacing w:after="0" w:line="240" w:lineRule="auto"/>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eura za projekt </w:t>
            </w:r>
            <w:r w:rsidR="00045340" w:rsidRPr="00A17B6F">
              <w:rPr>
                <w:rFonts w:ascii="Arial" w:eastAsia="Times New Roman" w:hAnsi="Arial" w:cs="Arial"/>
                <w:sz w:val="24"/>
                <w:szCs w:val="24"/>
                <w:lang w:eastAsia="hr-HR"/>
              </w:rPr>
              <w:t>CENTINOSS</w:t>
            </w:r>
          </w:p>
        </w:tc>
      </w:tr>
    </w:tbl>
    <w:p w14:paraId="3BB3A2FE" w14:textId="77777777" w:rsidR="00966DDB" w:rsidRPr="00A17B6F" w:rsidRDefault="00966DDB" w:rsidP="00966DDB">
      <w:pPr>
        <w:spacing w:after="0" w:line="240" w:lineRule="auto"/>
        <w:ind w:firstLine="709"/>
        <w:jc w:val="both"/>
        <w:rPr>
          <w:rFonts w:ascii="Arial" w:eastAsia="Times New Roman" w:hAnsi="Arial" w:cs="Arial"/>
          <w:sz w:val="24"/>
          <w:szCs w:val="24"/>
          <w:lang w:eastAsia="hr-HR"/>
        </w:rPr>
      </w:pPr>
    </w:p>
    <w:p w14:paraId="26D4E3AD" w14:textId="3FF9ADE6" w:rsidR="000E662E" w:rsidRPr="00A17B6F" w:rsidRDefault="009F0C5A" w:rsidP="00966DDB">
      <w:pPr>
        <w:spacing w:after="0" w:line="240" w:lineRule="auto"/>
        <w:ind w:firstLine="360"/>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Od ukupno naplaćenog iznosa </w:t>
      </w:r>
      <w:r w:rsidR="001E3FE8">
        <w:rPr>
          <w:rFonts w:ascii="Arial" w:eastAsia="Times New Roman" w:hAnsi="Arial" w:cs="Arial"/>
          <w:sz w:val="24"/>
          <w:szCs w:val="24"/>
          <w:lang w:eastAsia="hr-HR"/>
        </w:rPr>
        <w:t xml:space="preserve">prihoda od pomoći </w:t>
      </w:r>
      <w:r w:rsidRPr="00A17B6F">
        <w:rPr>
          <w:rFonts w:ascii="Arial" w:eastAsia="Times New Roman" w:hAnsi="Arial" w:cs="Arial"/>
          <w:sz w:val="24"/>
          <w:szCs w:val="24"/>
          <w:lang w:eastAsia="hr-HR"/>
        </w:rPr>
        <w:t>proračunskih korisnika za provedbu EU projekata, najveći dio se odnosi na prihod ustanova školstva (</w:t>
      </w:r>
      <w:r w:rsidR="000C74B5" w:rsidRPr="00A17B6F">
        <w:rPr>
          <w:rFonts w:ascii="Arial" w:eastAsia="Times New Roman" w:hAnsi="Arial" w:cs="Arial"/>
          <w:sz w:val="24"/>
          <w:szCs w:val="24"/>
          <w:lang w:eastAsia="hr-HR"/>
        </w:rPr>
        <w:t>4.479.283,89</w:t>
      </w:r>
      <w:r w:rsidR="001E3FE8">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w:t>
      </w:r>
      <w:r w:rsidR="000C74B5" w:rsidRPr="00A17B6F">
        <w:rPr>
          <w:rFonts w:ascii="Arial" w:eastAsia="Times New Roman" w:hAnsi="Arial" w:cs="Arial"/>
          <w:sz w:val="24"/>
          <w:szCs w:val="24"/>
          <w:lang w:eastAsia="hr-HR"/>
        </w:rPr>
        <w:t>i</w:t>
      </w:r>
      <w:r w:rsidRPr="00A17B6F">
        <w:rPr>
          <w:rFonts w:ascii="Arial" w:eastAsia="Times New Roman" w:hAnsi="Arial" w:cs="Arial"/>
          <w:sz w:val="24"/>
          <w:szCs w:val="24"/>
          <w:lang w:eastAsia="hr-HR"/>
        </w:rPr>
        <w:t xml:space="preserve"> prihoda ustanova zdravstva (</w:t>
      </w:r>
      <w:r w:rsidR="000C74B5" w:rsidRPr="00A17B6F">
        <w:rPr>
          <w:rFonts w:ascii="Arial" w:eastAsia="Times New Roman" w:hAnsi="Arial" w:cs="Arial"/>
          <w:sz w:val="24"/>
          <w:szCs w:val="24"/>
          <w:lang w:eastAsia="hr-HR"/>
        </w:rPr>
        <w:t>1.883.329,69</w:t>
      </w:r>
      <w:r w:rsidRPr="00A17B6F">
        <w:rPr>
          <w:rFonts w:ascii="Arial" w:eastAsia="Times New Roman" w:hAnsi="Arial" w:cs="Arial"/>
          <w:sz w:val="24"/>
          <w:szCs w:val="24"/>
          <w:lang w:eastAsia="hr-HR"/>
        </w:rPr>
        <w:t xml:space="preserve"> eura).</w:t>
      </w:r>
    </w:p>
    <w:p w14:paraId="72493118" w14:textId="77777777" w:rsidR="002B5690" w:rsidRPr="00A17B6F" w:rsidRDefault="002B5690" w:rsidP="00966DDB">
      <w:pPr>
        <w:spacing w:after="0" w:line="240" w:lineRule="auto"/>
        <w:ind w:firstLine="360"/>
        <w:jc w:val="both"/>
        <w:rPr>
          <w:rFonts w:ascii="Arial" w:eastAsia="Times New Roman" w:hAnsi="Arial" w:cs="Arial"/>
          <w:sz w:val="24"/>
          <w:szCs w:val="24"/>
          <w:lang w:eastAsia="hr-HR"/>
        </w:rPr>
      </w:pPr>
    </w:p>
    <w:p w14:paraId="7B4A0475" w14:textId="4357F477" w:rsidR="00966DDB" w:rsidRPr="00A17B6F" w:rsidRDefault="00966DDB" w:rsidP="00966DDB">
      <w:pPr>
        <w:spacing w:after="0" w:line="240" w:lineRule="auto"/>
        <w:ind w:firstLine="360"/>
        <w:jc w:val="both"/>
        <w:rPr>
          <w:rFonts w:ascii="Arial" w:eastAsia="Times New Roman" w:hAnsi="Arial" w:cs="Arial"/>
          <w:sz w:val="24"/>
          <w:szCs w:val="24"/>
          <w:lang w:eastAsia="hr-HR"/>
        </w:rPr>
      </w:pPr>
      <w:r w:rsidRPr="00A17B6F">
        <w:rPr>
          <w:rFonts w:ascii="Arial" w:eastAsia="Times New Roman" w:hAnsi="Arial" w:cs="Arial"/>
          <w:b/>
          <w:i/>
          <w:sz w:val="24"/>
          <w:szCs w:val="24"/>
          <w:lang w:eastAsia="hr-HR"/>
        </w:rPr>
        <w:t>Prihodi od pomoći proračunu iz drugih proračuna</w:t>
      </w:r>
      <w:r w:rsidRPr="00A17B6F">
        <w:rPr>
          <w:rFonts w:ascii="Arial" w:eastAsia="Times New Roman" w:hAnsi="Arial" w:cs="Arial"/>
          <w:sz w:val="24"/>
          <w:szCs w:val="24"/>
          <w:lang w:eastAsia="hr-HR"/>
        </w:rPr>
        <w:t xml:space="preserve"> izvorni je prihod Županije, dok ga proračunski korisnici ne ostvaruju. U izvještajnom razdoblju navedeni prihod je ostvaren u iznosu od </w:t>
      </w:r>
      <w:r w:rsidR="00FB7277" w:rsidRPr="00A17B6F">
        <w:rPr>
          <w:rFonts w:ascii="Arial" w:eastAsia="Times New Roman" w:hAnsi="Arial" w:cs="Arial"/>
          <w:sz w:val="24"/>
          <w:szCs w:val="24"/>
          <w:lang w:eastAsia="hr-HR"/>
        </w:rPr>
        <w:t>2.347.767,30</w:t>
      </w:r>
      <w:r w:rsidR="00DF0E26"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te </w:t>
      </w:r>
      <w:r w:rsidR="00DF0E26" w:rsidRPr="00A17B6F">
        <w:rPr>
          <w:rFonts w:ascii="Arial" w:eastAsia="Times New Roman" w:hAnsi="Arial" w:cs="Arial"/>
          <w:sz w:val="24"/>
          <w:szCs w:val="24"/>
          <w:lang w:eastAsia="hr-HR"/>
        </w:rPr>
        <w:t xml:space="preserve">je </w:t>
      </w:r>
      <w:r w:rsidRPr="00A17B6F">
        <w:rPr>
          <w:rFonts w:ascii="Arial" w:eastAsia="Times New Roman" w:hAnsi="Arial" w:cs="Arial"/>
          <w:sz w:val="24"/>
          <w:szCs w:val="24"/>
          <w:lang w:eastAsia="hr-HR"/>
        </w:rPr>
        <w:t xml:space="preserve">za </w:t>
      </w:r>
      <w:r w:rsidR="00FB7277" w:rsidRPr="00A17B6F">
        <w:rPr>
          <w:rFonts w:ascii="Arial" w:eastAsia="Times New Roman" w:hAnsi="Arial" w:cs="Arial"/>
          <w:sz w:val="24"/>
          <w:szCs w:val="24"/>
          <w:lang w:eastAsia="hr-HR"/>
        </w:rPr>
        <w:t>62.009,80</w:t>
      </w:r>
      <w:r w:rsidR="00DF0E26" w:rsidRPr="00A17B6F">
        <w:rPr>
          <w:rFonts w:ascii="Arial" w:eastAsia="Times New Roman" w:hAnsi="Arial" w:cs="Arial"/>
          <w:sz w:val="24"/>
          <w:szCs w:val="24"/>
          <w:lang w:eastAsia="hr-HR"/>
        </w:rPr>
        <w:t xml:space="preserve"> eura ili </w:t>
      </w:r>
      <w:r w:rsidR="00FB7277" w:rsidRPr="00A17B6F">
        <w:rPr>
          <w:rFonts w:ascii="Arial" w:eastAsia="Times New Roman" w:hAnsi="Arial" w:cs="Arial"/>
          <w:sz w:val="24"/>
          <w:szCs w:val="24"/>
          <w:lang w:eastAsia="hr-HR"/>
        </w:rPr>
        <w:t>2,57</w:t>
      </w:r>
      <w:r w:rsidR="00DF0E26" w:rsidRPr="00A17B6F">
        <w:rPr>
          <w:rFonts w:ascii="Arial" w:eastAsia="Times New Roman" w:hAnsi="Arial" w:cs="Arial"/>
          <w:sz w:val="24"/>
          <w:szCs w:val="24"/>
          <w:lang w:eastAsia="hr-HR"/>
        </w:rPr>
        <w:t xml:space="preserve">% </w:t>
      </w:r>
      <w:r w:rsidR="00FB7277" w:rsidRPr="00A17B6F">
        <w:rPr>
          <w:rFonts w:ascii="Arial" w:eastAsia="Times New Roman" w:hAnsi="Arial" w:cs="Arial"/>
          <w:sz w:val="24"/>
          <w:szCs w:val="24"/>
          <w:lang w:eastAsia="hr-HR"/>
        </w:rPr>
        <w:t>manje</w:t>
      </w:r>
      <w:r w:rsidR="00DF0E26" w:rsidRPr="00A17B6F">
        <w:rPr>
          <w:rFonts w:ascii="Arial" w:eastAsia="Times New Roman" w:hAnsi="Arial" w:cs="Arial"/>
          <w:sz w:val="24"/>
          <w:szCs w:val="24"/>
          <w:lang w:eastAsia="hr-HR"/>
        </w:rPr>
        <w:t xml:space="preserve"> naplaćen nego u istom razdoblju prošle godine. </w:t>
      </w:r>
      <w:r w:rsidR="00190347" w:rsidRPr="00A17B6F">
        <w:rPr>
          <w:rFonts w:ascii="Arial" w:eastAsia="Times New Roman" w:hAnsi="Arial" w:cs="Arial"/>
          <w:sz w:val="24"/>
          <w:szCs w:val="24"/>
          <w:lang w:eastAsia="hr-HR"/>
        </w:rPr>
        <w:t xml:space="preserve">Od navedenog iznosa </w:t>
      </w:r>
      <w:r w:rsidR="00FB7277" w:rsidRPr="00A17B6F">
        <w:rPr>
          <w:rFonts w:ascii="Arial" w:eastAsia="Times New Roman" w:hAnsi="Arial" w:cs="Arial"/>
          <w:sz w:val="24"/>
          <w:szCs w:val="24"/>
          <w:lang w:eastAsia="hr-HR"/>
        </w:rPr>
        <w:t>2.346.896,31</w:t>
      </w:r>
      <w:r w:rsidR="00DF0E26" w:rsidRPr="00A17B6F">
        <w:rPr>
          <w:rFonts w:ascii="Arial" w:eastAsia="Times New Roman" w:hAnsi="Arial" w:cs="Arial"/>
          <w:sz w:val="24"/>
          <w:szCs w:val="24"/>
          <w:lang w:eastAsia="hr-HR"/>
        </w:rPr>
        <w:t xml:space="preserve"> eur</w:t>
      </w:r>
      <w:r w:rsidR="00FB7277" w:rsidRPr="00A17B6F">
        <w:rPr>
          <w:rFonts w:ascii="Arial" w:eastAsia="Times New Roman" w:hAnsi="Arial" w:cs="Arial"/>
          <w:sz w:val="24"/>
          <w:szCs w:val="24"/>
          <w:lang w:eastAsia="hr-HR"/>
        </w:rPr>
        <w:t>o</w:t>
      </w:r>
      <w:r w:rsidR="00DF0E26" w:rsidRPr="00A17B6F">
        <w:rPr>
          <w:rFonts w:ascii="Arial" w:eastAsia="Times New Roman" w:hAnsi="Arial" w:cs="Arial"/>
          <w:sz w:val="24"/>
          <w:szCs w:val="24"/>
          <w:lang w:eastAsia="hr-HR"/>
        </w:rPr>
        <w:t xml:space="preserve"> je prihod</w:t>
      </w:r>
      <w:r w:rsidRPr="00A17B6F">
        <w:rPr>
          <w:rFonts w:ascii="Arial" w:eastAsia="Times New Roman" w:hAnsi="Arial" w:cs="Arial"/>
          <w:sz w:val="24"/>
          <w:szCs w:val="24"/>
          <w:lang w:eastAsia="hr-HR"/>
        </w:rPr>
        <w:t xml:space="preserve"> od pomoći ostvaren iz Državnog proračuna</w:t>
      </w:r>
      <w:r w:rsidR="00190347" w:rsidRPr="00A17B6F">
        <w:rPr>
          <w:rFonts w:ascii="Arial" w:eastAsia="Times New Roman" w:hAnsi="Arial" w:cs="Arial"/>
          <w:sz w:val="24"/>
          <w:szCs w:val="24"/>
          <w:lang w:eastAsia="hr-HR"/>
        </w:rPr>
        <w:t xml:space="preserve">, dok se </w:t>
      </w:r>
      <w:r w:rsidR="00FB7277" w:rsidRPr="00A17B6F">
        <w:rPr>
          <w:rFonts w:ascii="Arial" w:eastAsia="Times New Roman" w:hAnsi="Arial" w:cs="Arial"/>
          <w:sz w:val="24"/>
          <w:szCs w:val="24"/>
          <w:lang w:eastAsia="hr-HR"/>
        </w:rPr>
        <w:t>870,99</w:t>
      </w:r>
      <w:r w:rsidR="00DF0E26" w:rsidRPr="00A17B6F">
        <w:rPr>
          <w:rFonts w:ascii="Arial" w:eastAsia="Times New Roman" w:hAnsi="Arial" w:cs="Arial"/>
          <w:sz w:val="24"/>
          <w:szCs w:val="24"/>
          <w:lang w:eastAsia="hr-HR"/>
        </w:rPr>
        <w:t xml:space="preserve"> eura</w:t>
      </w:r>
      <w:r w:rsidR="00190347" w:rsidRPr="00A17B6F">
        <w:rPr>
          <w:rFonts w:ascii="Arial" w:eastAsia="Times New Roman" w:hAnsi="Arial" w:cs="Arial"/>
          <w:sz w:val="24"/>
          <w:szCs w:val="24"/>
          <w:lang w:eastAsia="hr-HR"/>
        </w:rPr>
        <w:t xml:space="preserve"> odnosi na prihod iz proračuna jedinica lokalne i p</w:t>
      </w:r>
      <w:r w:rsidR="00DF0E26" w:rsidRPr="00A17B6F">
        <w:rPr>
          <w:rFonts w:ascii="Arial" w:eastAsia="Times New Roman" w:hAnsi="Arial" w:cs="Arial"/>
          <w:sz w:val="24"/>
          <w:szCs w:val="24"/>
          <w:lang w:eastAsia="hr-HR"/>
        </w:rPr>
        <w:t xml:space="preserve">odručne (regionalne) samouprave, odnosno iz proračuna </w:t>
      </w:r>
      <w:r w:rsidR="00FB7277" w:rsidRPr="00A17B6F">
        <w:rPr>
          <w:rFonts w:ascii="Arial" w:eastAsia="Times New Roman" w:hAnsi="Arial" w:cs="Arial"/>
          <w:sz w:val="24"/>
          <w:szCs w:val="24"/>
          <w:lang w:eastAsia="hr-HR"/>
        </w:rPr>
        <w:t xml:space="preserve">općine </w:t>
      </w:r>
      <w:proofErr w:type="spellStart"/>
      <w:r w:rsidR="00FB7277" w:rsidRPr="00A17B6F">
        <w:rPr>
          <w:rFonts w:ascii="Arial" w:eastAsia="Times New Roman" w:hAnsi="Arial" w:cs="Arial"/>
          <w:sz w:val="24"/>
          <w:szCs w:val="24"/>
          <w:lang w:eastAsia="hr-HR"/>
        </w:rPr>
        <w:t>Malinska</w:t>
      </w:r>
      <w:proofErr w:type="spellEnd"/>
      <w:r w:rsidR="00190347" w:rsidRPr="00A17B6F">
        <w:rPr>
          <w:rFonts w:ascii="Arial" w:eastAsia="Times New Roman" w:hAnsi="Arial" w:cs="Arial"/>
          <w:sz w:val="24"/>
          <w:szCs w:val="24"/>
          <w:lang w:eastAsia="hr-HR"/>
        </w:rPr>
        <w:t xml:space="preserve"> za </w:t>
      </w:r>
      <w:r w:rsidR="00FB7277" w:rsidRPr="00A17B6F">
        <w:rPr>
          <w:rFonts w:ascii="Arial" w:eastAsia="Times New Roman" w:hAnsi="Arial" w:cs="Arial"/>
          <w:sz w:val="24"/>
          <w:szCs w:val="24"/>
          <w:lang w:eastAsia="hr-HR"/>
        </w:rPr>
        <w:t xml:space="preserve">sufinanciranje izrade projektne dokumentacije navodnjavanja </w:t>
      </w:r>
      <w:r w:rsidR="004141DF" w:rsidRPr="00A17B6F">
        <w:rPr>
          <w:rFonts w:ascii="Arial" w:eastAsia="Times New Roman" w:hAnsi="Arial" w:cs="Arial"/>
          <w:sz w:val="24"/>
          <w:szCs w:val="24"/>
          <w:lang w:eastAsia="hr-HR"/>
        </w:rPr>
        <w:t xml:space="preserve">polja </w:t>
      </w:r>
      <w:proofErr w:type="spellStart"/>
      <w:r w:rsidR="004141DF" w:rsidRPr="00A17B6F">
        <w:rPr>
          <w:rFonts w:ascii="Arial" w:eastAsia="Times New Roman" w:hAnsi="Arial" w:cs="Arial"/>
          <w:sz w:val="24"/>
          <w:szCs w:val="24"/>
          <w:lang w:eastAsia="hr-HR"/>
        </w:rPr>
        <w:t>Dubašnice</w:t>
      </w:r>
      <w:proofErr w:type="spellEnd"/>
      <w:r w:rsidR="00DF0E26" w:rsidRPr="00A17B6F">
        <w:rPr>
          <w:rFonts w:ascii="Arial" w:eastAsia="Times New Roman" w:hAnsi="Arial" w:cs="Arial"/>
          <w:sz w:val="24"/>
          <w:szCs w:val="24"/>
          <w:lang w:eastAsia="hr-HR"/>
        </w:rPr>
        <w:t xml:space="preserve">. </w:t>
      </w:r>
      <w:r w:rsidR="001F7C67" w:rsidRPr="00A17B6F">
        <w:rPr>
          <w:rFonts w:ascii="Arial" w:eastAsia="Times New Roman" w:hAnsi="Arial" w:cs="Arial"/>
          <w:sz w:val="24"/>
          <w:szCs w:val="24"/>
          <w:lang w:eastAsia="hr-HR"/>
        </w:rPr>
        <w:t xml:space="preserve">Prihodi iz Državnog proračuna namijenjeni su za </w:t>
      </w:r>
      <w:r w:rsidRPr="00A17B6F">
        <w:rPr>
          <w:rFonts w:ascii="Arial" w:eastAsia="Times New Roman" w:hAnsi="Arial" w:cs="Arial"/>
          <w:sz w:val="24"/>
          <w:szCs w:val="24"/>
          <w:lang w:eastAsia="hr-HR"/>
        </w:rPr>
        <w:t xml:space="preserve"> sufinanciranje sljedećih županijskih aktivnosti i projekata: </w:t>
      </w:r>
    </w:p>
    <w:p w14:paraId="6199E9E6" w14:textId="77777777" w:rsidR="00966DDB" w:rsidRPr="00A17B6F" w:rsidRDefault="00966DDB" w:rsidP="00966DDB">
      <w:pPr>
        <w:spacing w:after="0" w:line="240" w:lineRule="auto"/>
        <w:ind w:firstLine="360"/>
        <w:jc w:val="both"/>
        <w:rPr>
          <w:rFonts w:ascii="Arial" w:eastAsia="Times New Roman" w:hAnsi="Arial" w:cs="Arial"/>
          <w:sz w:val="24"/>
          <w:szCs w:val="24"/>
          <w:lang w:eastAsia="hr-HR"/>
        </w:rPr>
      </w:pPr>
    </w:p>
    <w:p w14:paraId="68AEFDE2" w14:textId="0AA921B1" w:rsidR="00966DDB" w:rsidRPr="00A17B6F" w:rsidRDefault="00DF0E26" w:rsidP="00966DDB">
      <w:pPr>
        <w:numPr>
          <w:ilvl w:val="0"/>
          <w:numId w:val="13"/>
        </w:numPr>
        <w:spacing w:after="0" w:line="240" w:lineRule="auto"/>
        <w:contextualSpacing/>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1.493.131,50 eura</w:t>
      </w:r>
      <w:r w:rsidR="00966DDB" w:rsidRPr="00A17B6F">
        <w:rPr>
          <w:rFonts w:ascii="Arial" w:eastAsia="Times New Roman" w:hAnsi="Arial" w:cs="Arial"/>
          <w:sz w:val="24"/>
          <w:szCs w:val="24"/>
          <w:lang w:eastAsia="hr-HR"/>
        </w:rPr>
        <w:t xml:space="preserve"> refundacija troškova za obavljanje preuzetih poslova državne uprave </w:t>
      </w:r>
    </w:p>
    <w:p w14:paraId="1C4EC56F" w14:textId="31E8C172" w:rsidR="00966DDB" w:rsidRPr="00A17B6F" w:rsidRDefault="004141DF" w:rsidP="00966DDB">
      <w:pPr>
        <w:numPr>
          <w:ilvl w:val="0"/>
          <w:numId w:val="13"/>
        </w:numPr>
        <w:spacing w:after="0" w:line="240" w:lineRule="auto"/>
        <w:contextualSpacing/>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647.092,07</w:t>
      </w:r>
      <w:r w:rsidR="00DF0E26" w:rsidRPr="00A17B6F">
        <w:rPr>
          <w:rFonts w:ascii="Arial" w:eastAsia="Times New Roman" w:hAnsi="Arial" w:cs="Arial"/>
          <w:sz w:val="24"/>
          <w:szCs w:val="24"/>
          <w:lang w:eastAsia="hr-HR"/>
        </w:rPr>
        <w:t xml:space="preserve"> eura</w:t>
      </w:r>
      <w:r w:rsidR="00966DDB" w:rsidRPr="00A17B6F">
        <w:rPr>
          <w:rFonts w:ascii="Arial" w:eastAsia="Times New Roman" w:hAnsi="Arial" w:cs="Arial"/>
          <w:sz w:val="24"/>
          <w:szCs w:val="24"/>
          <w:lang w:eastAsia="hr-HR"/>
        </w:rPr>
        <w:t xml:space="preserve"> sufinanciranje prijevoza učenika srednjih škola </w:t>
      </w:r>
    </w:p>
    <w:p w14:paraId="0A423B0F" w14:textId="5CF5520E" w:rsidR="00966DDB" w:rsidRPr="00A17B6F" w:rsidRDefault="004141DF" w:rsidP="00966DDB">
      <w:pPr>
        <w:numPr>
          <w:ilvl w:val="0"/>
          <w:numId w:val="13"/>
        </w:numPr>
        <w:spacing w:after="0" w:line="240" w:lineRule="auto"/>
        <w:contextualSpacing/>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60.280,00</w:t>
      </w:r>
      <w:r w:rsidR="00DF0E26" w:rsidRPr="00A17B6F">
        <w:rPr>
          <w:rFonts w:ascii="Arial" w:eastAsia="Times New Roman" w:hAnsi="Arial" w:cs="Arial"/>
          <w:sz w:val="24"/>
          <w:szCs w:val="24"/>
          <w:lang w:eastAsia="hr-HR"/>
        </w:rPr>
        <w:t xml:space="preserve"> eura</w:t>
      </w:r>
      <w:r w:rsidR="00966DDB" w:rsidRPr="00A17B6F">
        <w:rPr>
          <w:rFonts w:ascii="Arial" w:eastAsia="Times New Roman" w:hAnsi="Arial" w:cs="Arial"/>
          <w:sz w:val="24"/>
          <w:szCs w:val="24"/>
          <w:lang w:eastAsia="hr-HR"/>
        </w:rPr>
        <w:t xml:space="preserve"> za sufinanciranje hitne medicinske pomoći u turističkoj sezoni</w:t>
      </w:r>
    </w:p>
    <w:p w14:paraId="1FAF378F" w14:textId="044981CE" w:rsidR="00966DDB" w:rsidRPr="00A17B6F" w:rsidRDefault="004141DF" w:rsidP="00966DDB">
      <w:pPr>
        <w:numPr>
          <w:ilvl w:val="0"/>
          <w:numId w:val="13"/>
        </w:numPr>
        <w:spacing w:after="0" w:line="240" w:lineRule="auto"/>
        <w:contextualSpacing/>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67.200,00</w:t>
      </w:r>
      <w:r w:rsidR="00DF0E26" w:rsidRPr="00A17B6F">
        <w:rPr>
          <w:rFonts w:ascii="Arial" w:eastAsia="Times New Roman" w:hAnsi="Arial" w:cs="Arial"/>
          <w:sz w:val="24"/>
          <w:szCs w:val="24"/>
          <w:lang w:eastAsia="hr-HR"/>
        </w:rPr>
        <w:t xml:space="preserve"> eura</w:t>
      </w:r>
      <w:r w:rsidR="00966DDB" w:rsidRPr="00A17B6F">
        <w:rPr>
          <w:rFonts w:ascii="Arial" w:eastAsia="Times New Roman" w:hAnsi="Arial" w:cs="Arial"/>
          <w:sz w:val="24"/>
          <w:szCs w:val="24"/>
          <w:lang w:eastAsia="hr-HR"/>
        </w:rPr>
        <w:t xml:space="preserve"> za pomoćnike u nastavi</w:t>
      </w:r>
    </w:p>
    <w:p w14:paraId="1FF31B01" w14:textId="47A74C5C" w:rsidR="00966DDB" w:rsidRPr="00A17B6F" w:rsidRDefault="004141DF" w:rsidP="00966DDB">
      <w:pPr>
        <w:numPr>
          <w:ilvl w:val="0"/>
          <w:numId w:val="13"/>
        </w:numPr>
        <w:spacing w:after="0" w:line="240" w:lineRule="auto"/>
        <w:contextualSpacing/>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50.815,45</w:t>
      </w:r>
      <w:r w:rsidR="00DF0E26" w:rsidRPr="00A17B6F">
        <w:rPr>
          <w:rFonts w:ascii="Arial" w:eastAsia="Times New Roman" w:hAnsi="Arial" w:cs="Arial"/>
          <w:sz w:val="24"/>
          <w:szCs w:val="24"/>
          <w:lang w:eastAsia="hr-HR"/>
        </w:rPr>
        <w:t xml:space="preserve"> eura</w:t>
      </w:r>
      <w:r w:rsidR="00966DDB" w:rsidRPr="00A17B6F">
        <w:rPr>
          <w:rFonts w:ascii="Arial" w:eastAsia="Times New Roman" w:hAnsi="Arial" w:cs="Arial"/>
          <w:sz w:val="24"/>
          <w:szCs w:val="24"/>
          <w:lang w:eastAsia="hr-HR"/>
        </w:rPr>
        <w:t xml:space="preserve"> refundacija pogrebnih troškova hrvatskih branitelja</w:t>
      </w:r>
    </w:p>
    <w:p w14:paraId="78293D4F" w14:textId="2B20F4DC" w:rsidR="004141DF" w:rsidRPr="00A17B6F" w:rsidRDefault="004141DF" w:rsidP="00966DDB">
      <w:pPr>
        <w:numPr>
          <w:ilvl w:val="0"/>
          <w:numId w:val="13"/>
        </w:numPr>
        <w:spacing w:after="0" w:line="240" w:lineRule="auto"/>
        <w:contextualSpacing/>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25.000,00 eura za sufinanciranje projekta obnove Doma zdravlja u Vrbovskom</w:t>
      </w:r>
    </w:p>
    <w:p w14:paraId="23877D9F" w14:textId="1607DDB5" w:rsidR="001F7C67" w:rsidRPr="00A17B6F" w:rsidRDefault="004141DF" w:rsidP="00966DDB">
      <w:pPr>
        <w:numPr>
          <w:ilvl w:val="0"/>
          <w:numId w:val="13"/>
        </w:numPr>
        <w:spacing w:after="0" w:line="240" w:lineRule="auto"/>
        <w:contextualSpacing/>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2.065,50</w:t>
      </w:r>
      <w:r w:rsidR="00DF0E26" w:rsidRPr="00A17B6F">
        <w:rPr>
          <w:rFonts w:ascii="Arial" w:eastAsia="Times New Roman" w:hAnsi="Arial" w:cs="Arial"/>
          <w:sz w:val="24"/>
          <w:szCs w:val="24"/>
          <w:lang w:eastAsia="hr-HR"/>
        </w:rPr>
        <w:t xml:space="preserve"> eura</w:t>
      </w:r>
      <w:r w:rsidR="001F7C67" w:rsidRPr="00A17B6F">
        <w:rPr>
          <w:rFonts w:ascii="Arial" w:eastAsia="Times New Roman" w:hAnsi="Arial" w:cs="Arial"/>
          <w:sz w:val="24"/>
          <w:szCs w:val="24"/>
          <w:lang w:eastAsia="hr-HR"/>
        </w:rPr>
        <w:t xml:space="preserve"> za projekt </w:t>
      </w:r>
      <w:r w:rsidR="00DF0E26" w:rsidRPr="00A17B6F">
        <w:rPr>
          <w:rFonts w:ascii="Arial" w:eastAsia="Times New Roman" w:hAnsi="Arial" w:cs="Arial"/>
          <w:sz w:val="24"/>
          <w:szCs w:val="24"/>
          <w:lang w:eastAsia="hr-HR"/>
        </w:rPr>
        <w:t>financiranja higijenskih potrepština u osnovnim školama</w:t>
      </w:r>
    </w:p>
    <w:p w14:paraId="4C059A5D" w14:textId="77777777" w:rsidR="004141DF" w:rsidRPr="00A17B6F" w:rsidRDefault="004141DF" w:rsidP="00966DDB">
      <w:pPr>
        <w:numPr>
          <w:ilvl w:val="0"/>
          <w:numId w:val="13"/>
        </w:numPr>
        <w:spacing w:after="0" w:line="240" w:lineRule="auto"/>
        <w:contextualSpacing/>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871,00 eura za programe navodnjavanja</w:t>
      </w:r>
    </w:p>
    <w:p w14:paraId="0DFFAEE4" w14:textId="24E510C9" w:rsidR="004141DF" w:rsidRPr="00A17B6F" w:rsidRDefault="004141DF" w:rsidP="004141DF">
      <w:pPr>
        <w:numPr>
          <w:ilvl w:val="0"/>
          <w:numId w:val="13"/>
        </w:numPr>
        <w:spacing w:after="0" w:line="240" w:lineRule="auto"/>
        <w:contextualSpacing/>
        <w:rPr>
          <w:rFonts w:ascii="Arial" w:eastAsia="Times New Roman" w:hAnsi="Arial" w:cs="Arial"/>
          <w:sz w:val="24"/>
          <w:szCs w:val="24"/>
          <w:lang w:eastAsia="hr-HR"/>
        </w:rPr>
      </w:pPr>
      <w:r w:rsidRPr="00A17B6F">
        <w:rPr>
          <w:rFonts w:ascii="Arial" w:eastAsia="Times New Roman" w:hAnsi="Arial" w:cs="Arial"/>
          <w:sz w:val="24"/>
          <w:szCs w:val="24"/>
          <w:lang w:eastAsia="hr-HR"/>
        </w:rPr>
        <w:t>440,79 eura za subvenciju kamata u sklopu programa poticanja poduzetništva.</w:t>
      </w:r>
    </w:p>
    <w:p w14:paraId="2F4EFDE1" w14:textId="66DFE91E" w:rsidR="00966DDB" w:rsidRPr="00A17B6F" w:rsidRDefault="00966DDB" w:rsidP="004141DF">
      <w:pPr>
        <w:spacing w:after="0" w:line="240" w:lineRule="auto"/>
        <w:contextualSpacing/>
        <w:jc w:val="both"/>
        <w:rPr>
          <w:rFonts w:ascii="Arial" w:eastAsia="Times New Roman" w:hAnsi="Arial" w:cs="Arial"/>
          <w:sz w:val="24"/>
          <w:szCs w:val="24"/>
          <w:lang w:eastAsia="hr-HR"/>
        </w:rPr>
      </w:pPr>
    </w:p>
    <w:p w14:paraId="046E62AE" w14:textId="6A038B74" w:rsidR="00966DDB" w:rsidRPr="00A17B6F" w:rsidRDefault="00966DDB" w:rsidP="00966DDB">
      <w:pPr>
        <w:spacing w:after="0" w:line="240" w:lineRule="auto"/>
        <w:ind w:firstLine="357"/>
        <w:jc w:val="both"/>
        <w:rPr>
          <w:rFonts w:ascii="Arial" w:eastAsia="Times New Roman" w:hAnsi="Arial" w:cs="Arial"/>
          <w:sz w:val="24"/>
          <w:szCs w:val="24"/>
          <w:lang w:eastAsia="hr-HR"/>
        </w:rPr>
      </w:pPr>
      <w:r w:rsidRPr="00A17B6F">
        <w:rPr>
          <w:rFonts w:ascii="Arial" w:eastAsia="Times New Roman" w:hAnsi="Arial" w:cs="Arial"/>
          <w:b/>
          <w:i/>
          <w:sz w:val="24"/>
          <w:szCs w:val="24"/>
          <w:lang w:eastAsia="hr-HR"/>
        </w:rPr>
        <w:t>Prihodi od</w:t>
      </w:r>
      <w:r w:rsidRPr="00A17B6F">
        <w:rPr>
          <w:rFonts w:ascii="Arial" w:eastAsia="Times New Roman" w:hAnsi="Arial" w:cs="Arial"/>
          <w:i/>
          <w:sz w:val="24"/>
          <w:szCs w:val="24"/>
          <w:lang w:eastAsia="hr-HR"/>
        </w:rPr>
        <w:t xml:space="preserve"> </w:t>
      </w:r>
      <w:r w:rsidRPr="00A17B6F">
        <w:rPr>
          <w:rFonts w:ascii="Arial" w:eastAsia="Times New Roman" w:hAnsi="Arial" w:cs="Arial"/>
          <w:b/>
          <w:i/>
          <w:sz w:val="24"/>
          <w:szCs w:val="24"/>
          <w:lang w:eastAsia="hr-HR"/>
        </w:rPr>
        <w:t>pomoći od izvanproračunskih korisnika</w:t>
      </w:r>
      <w:r w:rsidRPr="00A17B6F">
        <w:rPr>
          <w:rFonts w:ascii="Arial" w:eastAsia="Times New Roman" w:hAnsi="Arial" w:cs="Arial"/>
          <w:b/>
          <w:sz w:val="24"/>
          <w:szCs w:val="24"/>
          <w:lang w:eastAsia="hr-HR"/>
        </w:rPr>
        <w:t xml:space="preserve"> </w:t>
      </w:r>
      <w:r w:rsidRPr="00A17B6F">
        <w:rPr>
          <w:rFonts w:ascii="Arial" w:eastAsia="Times New Roman" w:hAnsi="Arial" w:cs="Arial"/>
          <w:sz w:val="24"/>
          <w:szCs w:val="24"/>
          <w:lang w:eastAsia="hr-HR"/>
        </w:rPr>
        <w:t>ostvareni su u prvom polugodištu 202</w:t>
      </w:r>
      <w:r w:rsidR="004141DF"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u iznosu od </w:t>
      </w:r>
      <w:r w:rsidR="004141DF" w:rsidRPr="00A17B6F">
        <w:rPr>
          <w:rFonts w:ascii="Arial" w:eastAsia="Times New Roman" w:hAnsi="Arial" w:cs="Arial"/>
          <w:sz w:val="24"/>
          <w:szCs w:val="24"/>
          <w:lang w:eastAsia="hr-HR"/>
        </w:rPr>
        <w:t>782.468,21</w:t>
      </w:r>
      <w:r w:rsidR="00590A06" w:rsidRPr="00A17B6F">
        <w:rPr>
          <w:rFonts w:ascii="Arial" w:eastAsia="Times New Roman" w:hAnsi="Arial" w:cs="Arial"/>
          <w:sz w:val="24"/>
          <w:szCs w:val="24"/>
          <w:lang w:eastAsia="hr-HR"/>
        </w:rPr>
        <w:t xml:space="preserve"> eura što je za </w:t>
      </w:r>
      <w:r w:rsidR="004141DF" w:rsidRPr="00A17B6F">
        <w:rPr>
          <w:rFonts w:ascii="Arial" w:eastAsia="Times New Roman" w:hAnsi="Arial" w:cs="Arial"/>
          <w:sz w:val="24"/>
          <w:szCs w:val="24"/>
          <w:lang w:eastAsia="hr-HR"/>
        </w:rPr>
        <w:t>99.893,19</w:t>
      </w:r>
      <w:r w:rsidR="00590A06" w:rsidRPr="00A17B6F">
        <w:rPr>
          <w:rFonts w:ascii="Arial" w:eastAsia="Times New Roman" w:hAnsi="Arial" w:cs="Arial"/>
          <w:sz w:val="24"/>
          <w:szCs w:val="24"/>
          <w:lang w:eastAsia="hr-HR"/>
        </w:rPr>
        <w:t xml:space="preserve"> ili </w:t>
      </w:r>
      <w:r w:rsidR="004141DF" w:rsidRPr="00A17B6F">
        <w:rPr>
          <w:rFonts w:ascii="Arial" w:eastAsia="Times New Roman" w:hAnsi="Arial" w:cs="Arial"/>
          <w:sz w:val="24"/>
          <w:szCs w:val="24"/>
          <w:lang w:eastAsia="hr-HR"/>
        </w:rPr>
        <w:t>14,63</w:t>
      </w:r>
      <w:r w:rsidR="00590A06" w:rsidRPr="00A17B6F">
        <w:rPr>
          <w:rFonts w:ascii="Arial" w:eastAsia="Times New Roman" w:hAnsi="Arial" w:cs="Arial"/>
          <w:sz w:val="24"/>
          <w:szCs w:val="24"/>
          <w:lang w:eastAsia="hr-HR"/>
        </w:rPr>
        <w:t>% više nego u istom razdoblju prošle godine.</w:t>
      </w:r>
      <w:r w:rsidRPr="00A17B6F">
        <w:rPr>
          <w:rFonts w:ascii="Arial" w:eastAsia="Times New Roman" w:hAnsi="Arial" w:cs="Arial"/>
          <w:sz w:val="24"/>
          <w:szCs w:val="24"/>
          <w:lang w:eastAsia="hr-HR"/>
        </w:rPr>
        <w:t xml:space="preserve"> Ovaj prihod su u cijelosti ostvarili županijski proračunski korisnici i to ustanove zdravstva (</w:t>
      </w:r>
      <w:r w:rsidR="002749A2" w:rsidRPr="00A17B6F">
        <w:rPr>
          <w:rFonts w:ascii="Arial" w:eastAsia="Times New Roman" w:hAnsi="Arial" w:cs="Arial"/>
          <w:sz w:val="24"/>
          <w:szCs w:val="24"/>
          <w:lang w:eastAsia="hr-HR"/>
        </w:rPr>
        <w:t>755.229,49</w:t>
      </w:r>
      <w:r w:rsidR="00590A06" w:rsidRPr="00A17B6F">
        <w:rPr>
          <w:rFonts w:ascii="Arial" w:eastAsia="Times New Roman" w:hAnsi="Arial" w:cs="Arial"/>
          <w:sz w:val="24"/>
          <w:szCs w:val="24"/>
          <w:lang w:eastAsia="hr-HR"/>
        </w:rPr>
        <w:t xml:space="preserve"> eura</w:t>
      </w:r>
      <w:r w:rsidR="002749A2" w:rsidRPr="00A17B6F">
        <w:rPr>
          <w:rFonts w:ascii="Arial" w:eastAsia="Times New Roman" w:hAnsi="Arial" w:cs="Arial"/>
          <w:sz w:val="24"/>
          <w:szCs w:val="24"/>
          <w:lang w:eastAsia="hr-HR"/>
        </w:rPr>
        <w:t xml:space="preserve">), </w:t>
      </w:r>
      <w:r w:rsidRPr="00A17B6F">
        <w:rPr>
          <w:rFonts w:ascii="Arial" w:eastAsia="Times New Roman" w:hAnsi="Arial" w:cs="Arial"/>
          <w:sz w:val="24"/>
          <w:szCs w:val="24"/>
          <w:lang w:eastAsia="hr-HR"/>
        </w:rPr>
        <w:t>ustanove školstva (</w:t>
      </w:r>
      <w:r w:rsidR="002749A2" w:rsidRPr="00A17B6F">
        <w:rPr>
          <w:rFonts w:ascii="Arial" w:eastAsia="Times New Roman" w:hAnsi="Arial" w:cs="Arial"/>
          <w:sz w:val="24"/>
          <w:szCs w:val="24"/>
          <w:lang w:eastAsia="hr-HR"/>
        </w:rPr>
        <w:t>8.552,28</w:t>
      </w:r>
      <w:r w:rsidR="00590A06" w:rsidRPr="00A17B6F">
        <w:rPr>
          <w:rFonts w:ascii="Arial" w:eastAsia="Times New Roman" w:hAnsi="Arial" w:cs="Arial"/>
          <w:sz w:val="24"/>
          <w:szCs w:val="24"/>
          <w:lang w:eastAsia="hr-HR"/>
        </w:rPr>
        <w:t xml:space="preserve"> eura)</w:t>
      </w:r>
      <w:r w:rsidR="002749A2" w:rsidRPr="00A17B6F">
        <w:rPr>
          <w:rFonts w:ascii="Arial" w:eastAsia="Times New Roman" w:hAnsi="Arial" w:cs="Arial"/>
          <w:sz w:val="24"/>
          <w:szCs w:val="24"/>
          <w:lang w:eastAsia="hr-HR"/>
        </w:rPr>
        <w:t xml:space="preserve"> te ustanova JU Priroda (18.686,44 eura)</w:t>
      </w:r>
      <w:r w:rsidR="00590A06" w:rsidRPr="00A17B6F">
        <w:rPr>
          <w:rFonts w:ascii="Arial" w:eastAsia="Times New Roman" w:hAnsi="Arial" w:cs="Arial"/>
          <w:sz w:val="24"/>
          <w:szCs w:val="24"/>
          <w:lang w:eastAsia="hr-HR"/>
        </w:rPr>
        <w:t>, a navedena bolja naplata u odnosu na prethodnu godinu</w:t>
      </w:r>
      <w:r w:rsidR="002749A2" w:rsidRPr="00A17B6F">
        <w:rPr>
          <w:rFonts w:ascii="Arial" w:eastAsia="Times New Roman" w:hAnsi="Arial" w:cs="Arial"/>
          <w:sz w:val="24"/>
          <w:szCs w:val="24"/>
          <w:lang w:eastAsia="hr-HR"/>
        </w:rPr>
        <w:t>, u najvećem dijelu je</w:t>
      </w:r>
      <w:r w:rsidR="00590A06" w:rsidRPr="00A17B6F">
        <w:rPr>
          <w:rFonts w:ascii="Arial" w:eastAsia="Times New Roman" w:hAnsi="Arial" w:cs="Arial"/>
          <w:sz w:val="24"/>
          <w:szCs w:val="24"/>
          <w:lang w:eastAsia="hr-HR"/>
        </w:rPr>
        <w:t xml:space="preserve"> rezultat </w:t>
      </w:r>
      <w:r w:rsidR="002749A2" w:rsidRPr="00A17B6F">
        <w:rPr>
          <w:rFonts w:ascii="Arial" w:eastAsia="Times New Roman" w:hAnsi="Arial" w:cs="Arial"/>
          <w:sz w:val="24"/>
          <w:szCs w:val="24"/>
          <w:lang w:eastAsia="hr-HR"/>
        </w:rPr>
        <w:t xml:space="preserve">veće naplate </w:t>
      </w:r>
      <w:r w:rsidR="00590A06" w:rsidRPr="00A17B6F">
        <w:rPr>
          <w:rFonts w:ascii="Arial" w:eastAsia="Times New Roman" w:hAnsi="Arial" w:cs="Arial"/>
          <w:sz w:val="24"/>
          <w:szCs w:val="24"/>
          <w:lang w:eastAsia="hr-HR"/>
        </w:rPr>
        <w:t>navedenog prihoda kod zdravstvenih ustanova</w:t>
      </w:r>
      <w:r w:rsidR="002749A2" w:rsidRPr="00A17B6F">
        <w:rPr>
          <w:rFonts w:ascii="Arial" w:eastAsia="Times New Roman" w:hAnsi="Arial" w:cs="Arial"/>
          <w:sz w:val="24"/>
          <w:szCs w:val="24"/>
          <w:lang w:eastAsia="hr-HR"/>
        </w:rPr>
        <w:t xml:space="preserve"> i JU Priroda.</w:t>
      </w:r>
      <w:r w:rsidRPr="00A17B6F">
        <w:rPr>
          <w:rFonts w:ascii="Arial" w:eastAsia="Times New Roman" w:hAnsi="Arial" w:cs="Arial"/>
          <w:sz w:val="24"/>
          <w:szCs w:val="24"/>
          <w:lang w:eastAsia="hr-HR"/>
        </w:rPr>
        <w:t xml:space="preserve"> </w:t>
      </w:r>
    </w:p>
    <w:p w14:paraId="19CC5AB2" w14:textId="77777777" w:rsidR="00966DDB" w:rsidRPr="00A17B6F" w:rsidRDefault="00966DDB" w:rsidP="00966DDB">
      <w:pPr>
        <w:spacing w:after="0" w:line="240" w:lineRule="auto"/>
        <w:ind w:firstLine="357"/>
        <w:jc w:val="both"/>
        <w:rPr>
          <w:rFonts w:ascii="Arial" w:eastAsia="Times New Roman" w:hAnsi="Arial" w:cs="Arial"/>
          <w:sz w:val="24"/>
          <w:szCs w:val="24"/>
          <w:lang w:eastAsia="hr-HR"/>
        </w:rPr>
      </w:pPr>
    </w:p>
    <w:p w14:paraId="4FC01BF4" w14:textId="09B9916A" w:rsidR="00966DDB" w:rsidRPr="00A17B6F" w:rsidRDefault="00966DDB" w:rsidP="00966DDB">
      <w:pPr>
        <w:spacing w:after="120" w:line="240" w:lineRule="auto"/>
        <w:ind w:firstLine="357"/>
        <w:jc w:val="both"/>
        <w:rPr>
          <w:rFonts w:ascii="Arial" w:eastAsia="Times New Roman" w:hAnsi="Arial" w:cs="Arial"/>
          <w:sz w:val="24"/>
          <w:szCs w:val="24"/>
          <w:lang w:eastAsia="hr-HR"/>
        </w:rPr>
      </w:pPr>
      <w:r w:rsidRPr="00A17B6F">
        <w:rPr>
          <w:rFonts w:ascii="Arial" w:eastAsia="Times New Roman" w:hAnsi="Arial" w:cs="Arial"/>
          <w:b/>
          <w:i/>
          <w:sz w:val="24"/>
          <w:szCs w:val="24"/>
          <w:lang w:eastAsia="hr-HR"/>
        </w:rPr>
        <w:t>Prihod od pomoći izravnanja</w:t>
      </w:r>
      <w:r w:rsidRPr="00A17B6F">
        <w:rPr>
          <w:rFonts w:ascii="Arial" w:eastAsia="Times New Roman" w:hAnsi="Arial" w:cs="Arial"/>
          <w:i/>
          <w:sz w:val="24"/>
          <w:szCs w:val="24"/>
          <w:lang w:eastAsia="hr-HR"/>
        </w:rPr>
        <w:t>,</w:t>
      </w:r>
      <w:r w:rsidRPr="00A17B6F">
        <w:rPr>
          <w:rFonts w:ascii="Arial" w:eastAsia="Times New Roman" w:hAnsi="Arial" w:cs="Arial"/>
          <w:sz w:val="24"/>
          <w:szCs w:val="24"/>
          <w:lang w:eastAsia="hr-HR"/>
        </w:rPr>
        <w:t xml:space="preserve"> koji je već spomenut u dijelu financiranja decentraliziranih funkcija iz ustupljenih stopa poreza na dohodak, u iznosu od </w:t>
      </w:r>
      <w:r w:rsidR="00DE40BC" w:rsidRPr="00A17B6F">
        <w:rPr>
          <w:rFonts w:ascii="Arial" w:eastAsia="Times New Roman" w:hAnsi="Arial" w:cs="Arial"/>
          <w:sz w:val="24"/>
          <w:szCs w:val="24"/>
          <w:lang w:eastAsia="hr-HR"/>
        </w:rPr>
        <w:t>1.601.653,82</w:t>
      </w:r>
      <w:r w:rsidR="00590A06" w:rsidRPr="00A17B6F">
        <w:rPr>
          <w:rFonts w:ascii="Arial" w:eastAsia="Times New Roman" w:hAnsi="Arial" w:cs="Arial"/>
          <w:sz w:val="24"/>
          <w:szCs w:val="24"/>
          <w:lang w:eastAsia="hr-HR"/>
        </w:rPr>
        <w:t xml:space="preserve"> eura što je </w:t>
      </w:r>
      <w:r w:rsidR="00DE40BC" w:rsidRPr="00A17B6F">
        <w:rPr>
          <w:rFonts w:ascii="Arial" w:eastAsia="Times New Roman" w:hAnsi="Arial" w:cs="Arial"/>
          <w:sz w:val="24"/>
          <w:szCs w:val="24"/>
          <w:lang w:eastAsia="hr-HR"/>
        </w:rPr>
        <w:t>598.209,49</w:t>
      </w:r>
      <w:r w:rsidR="00590A06" w:rsidRPr="00A17B6F">
        <w:rPr>
          <w:rFonts w:ascii="Arial" w:eastAsia="Times New Roman" w:hAnsi="Arial" w:cs="Arial"/>
          <w:sz w:val="24"/>
          <w:szCs w:val="24"/>
          <w:lang w:eastAsia="hr-HR"/>
        </w:rPr>
        <w:t xml:space="preserve"> eura ili </w:t>
      </w:r>
      <w:r w:rsidR="00DE40BC" w:rsidRPr="00A17B6F">
        <w:rPr>
          <w:rFonts w:ascii="Arial" w:eastAsia="Times New Roman" w:hAnsi="Arial" w:cs="Arial"/>
          <w:sz w:val="24"/>
          <w:szCs w:val="24"/>
          <w:lang w:eastAsia="hr-HR"/>
        </w:rPr>
        <w:t>27,19</w:t>
      </w:r>
      <w:r w:rsidR="00590A06" w:rsidRPr="00A17B6F">
        <w:rPr>
          <w:rFonts w:ascii="Arial" w:eastAsia="Times New Roman" w:hAnsi="Arial" w:cs="Arial"/>
          <w:sz w:val="24"/>
          <w:szCs w:val="24"/>
          <w:lang w:eastAsia="hr-HR"/>
        </w:rPr>
        <w:t xml:space="preserve">% manje nego u istom razdoblju prošle godine. Navedeno je rezultat povećanja prihoda od ustupljene stope poreza na dohodak za financiranje decentraliziranih funkcija uz </w:t>
      </w:r>
      <w:r w:rsidR="00590A06" w:rsidRPr="00A17B6F">
        <w:rPr>
          <w:rFonts w:ascii="Arial" w:eastAsia="Times New Roman" w:hAnsi="Arial" w:cs="Arial"/>
          <w:sz w:val="24"/>
          <w:szCs w:val="24"/>
          <w:lang w:eastAsia="hr-HR"/>
        </w:rPr>
        <w:lastRenderedPageBreak/>
        <w:t xml:space="preserve">istovremeno </w:t>
      </w:r>
      <w:r w:rsidR="00DE40BC" w:rsidRPr="00A17B6F">
        <w:rPr>
          <w:rFonts w:ascii="Arial" w:eastAsia="Times New Roman" w:hAnsi="Arial" w:cs="Arial"/>
          <w:sz w:val="24"/>
          <w:szCs w:val="24"/>
          <w:lang w:eastAsia="hr-HR"/>
        </w:rPr>
        <w:t>minimalno povećanje od 5%</w:t>
      </w:r>
      <w:r w:rsidR="00590A06" w:rsidRPr="00A17B6F">
        <w:rPr>
          <w:rFonts w:ascii="Arial" w:eastAsia="Times New Roman" w:hAnsi="Arial" w:cs="Arial"/>
          <w:sz w:val="24"/>
          <w:szCs w:val="24"/>
          <w:lang w:eastAsia="hr-HR"/>
        </w:rPr>
        <w:t xml:space="preserve"> bilančnih prava za decentralizirane funkcije </w:t>
      </w:r>
      <w:r w:rsidR="00DE40BC" w:rsidRPr="00A17B6F">
        <w:rPr>
          <w:rFonts w:ascii="Arial" w:eastAsia="Times New Roman" w:hAnsi="Arial" w:cs="Arial"/>
          <w:sz w:val="24"/>
          <w:szCs w:val="24"/>
          <w:lang w:eastAsia="hr-HR"/>
        </w:rPr>
        <w:t>za 2024. godinu.</w:t>
      </w:r>
    </w:p>
    <w:p w14:paraId="49ABA09F" w14:textId="6D59EB4D" w:rsidR="00C16708" w:rsidRPr="00A17B6F" w:rsidRDefault="00966DDB" w:rsidP="00966DDB">
      <w:pPr>
        <w:spacing w:after="120" w:line="240" w:lineRule="auto"/>
        <w:ind w:firstLine="357"/>
        <w:jc w:val="both"/>
        <w:rPr>
          <w:rFonts w:ascii="Arial" w:eastAsia="Times New Roman" w:hAnsi="Arial" w:cs="Arial"/>
          <w:sz w:val="24"/>
          <w:szCs w:val="24"/>
          <w:lang w:eastAsia="hr-HR"/>
        </w:rPr>
      </w:pPr>
      <w:r w:rsidRPr="00A17B6F">
        <w:rPr>
          <w:rFonts w:ascii="Arial" w:eastAsia="Times New Roman" w:hAnsi="Arial" w:cs="Arial"/>
          <w:b/>
          <w:i/>
          <w:sz w:val="24"/>
          <w:szCs w:val="24"/>
          <w:lang w:eastAsia="hr-HR"/>
        </w:rPr>
        <w:t>Prihod od</w:t>
      </w:r>
      <w:r w:rsidRPr="00A17B6F">
        <w:rPr>
          <w:rFonts w:ascii="Arial" w:eastAsia="Times New Roman" w:hAnsi="Arial" w:cs="Arial"/>
          <w:i/>
          <w:sz w:val="24"/>
          <w:szCs w:val="24"/>
          <w:lang w:eastAsia="hr-HR"/>
        </w:rPr>
        <w:t xml:space="preserve"> </w:t>
      </w:r>
      <w:r w:rsidRPr="00A17B6F">
        <w:rPr>
          <w:rFonts w:ascii="Arial" w:eastAsia="Times New Roman" w:hAnsi="Arial" w:cs="Arial"/>
          <w:b/>
          <w:i/>
          <w:sz w:val="24"/>
          <w:szCs w:val="24"/>
          <w:lang w:eastAsia="hr-HR"/>
        </w:rPr>
        <w:t>pomoći proračunskim korisnicima iz proračuna koji im nije nadležan</w:t>
      </w:r>
      <w:r w:rsidRPr="00A17B6F">
        <w:rPr>
          <w:rFonts w:ascii="Arial" w:eastAsia="Times New Roman" w:hAnsi="Arial" w:cs="Arial"/>
          <w:b/>
          <w:sz w:val="24"/>
          <w:szCs w:val="24"/>
          <w:lang w:eastAsia="hr-HR"/>
        </w:rPr>
        <w:t xml:space="preserve"> </w:t>
      </w:r>
      <w:r w:rsidRPr="00A17B6F">
        <w:rPr>
          <w:rFonts w:ascii="Arial" w:eastAsia="Times New Roman" w:hAnsi="Arial" w:cs="Arial"/>
          <w:sz w:val="24"/>
          <w:szCs w:val="24"/>
          <w:lang w:eastAsia="hr-HR"/>
        </w:rPr>
        <w:t xml:space="preserve">prihod je županijskih korisnika i u ovom izvještajnom razdoblju ostvaren je u iznosu od </w:t>
      </w:r>
      <w:r w:rsidR="00F86E9B" w:rsidRPr="00A17B6F">
        <w:rPr>
          <w:rFonts w:ascii="Arial" w:eastAsia="Times New Roman" w:hAnsi="Arial" w:cs="Arial"/>
          <w:sz w:val="24"/>
          <w:szCs w:val="24"/>
          <w:lang w:eastAsia="hr-HR"/>
        </w:rPr>
        <w:t>44.997.133,34</w:t>
      </w:r>
      <w:r w:rsidR="008030B7"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odnosno </w:t>
      </w:r>
      <w:r w:rsidR="001E3FE8">
        <w:rPr>
          <w:rFonts w:ascii="Arial" w:eastAsia="Times New Roman" w:hAnsi="Arial" w:cs="Arial"/>
          <w:sz w:val="24"/>
          <w:szCs w:val="24"/>
          <w:lang w:eastAsia="hr-HR"/>
        </w:rPr>
        <w:t>8.692.441,56</w:t>
      </w:r>
      <w:r w:rsidR="008030B7"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više u odnosu na </w:t>
      </w:r>
      <w:r w:rsidR="008030B7" w:rsidRPr="00A17B6F">
        <w:rPr>
          <w:rFonts w:ascii="Arial" w:eastAsia="Times New Roman" w:hAnsi="Arial" w:cs="Arial"/>
          <w:sz w:val="24"/>
          <w:szCs w:val="24"/>
          <w:lang w:eastAsia="hr-HR"/>
        </w:rPr>
        <w:t xml:space="preserve">isto razdoblje prethodne godine. </w:t>
      </w:r>
      <w:r w:rsidRPr="00A17B6F">
        <w:rPr>
          <w:rFonts w:ascii="Arial" w:eastAsia="Times New Roman" w:hAnsi="Arial" w:cs="Arial"/>
          <w:sz w:val="24"/>
          <w:szCs w:val="24"/>
          <w:lang w:eastAsia="hr-HR"/>
        </w:rPr>
        <w:t xml:space="preserve">Navedeno povećanje u odnosu na prethodnu </w:t>
      </w:r>
      <w:r w:rsidR="001146F5" w:rsidRPr="00A17B6F">
        <w:rPr>
          <w:rFonts w:ascii="Arial" w:eastAsia="Times New Roman" w:hAnsi="Arial" w:cs="Arial"/>
          <w:sz w:val="24"/>
          <w:szCs w:val="24"/>
          <w:lang w:eastAsia="hr-HR"/>
        </w:rPr>
        <w:t xml:space="preserve">godinu </w:t>
      </w:r>
      <w:r w:rsidRPr="00A17B6F">
        <w:rPr>
          <w:rFonts w:ascii="Arial" w:eastAsia="Times New Roman" w:hAnsi="Arial" w:cs="Arial"/>
          <w:sz w:val="24"/>
          <w:szCs w:val="24"/>
          <w:lang w:eastAsia="hr-HR"/>
        </w:rPr>
        <w:t>u prvom redu je rezultat povećanja prihoda od pomoći ustanova školstva (</w:t>
      </w:r>
      <w:r w:rsidR="00F86E9B" w:rsidRPr="00A17B6F">
        <w:rPr>
          <w:rFonts w:ascii="Arial" w:eastAsia="Times New Roman" w:hAnsi="Arial" w:cs="Arial"/>
          <w:sz w:val="24"/>
          <w:szCs w:val="24"/>
          <w:lang w:eastAsia="hr-HR"/>
        </w:rPr>
        <w:t>9.</w:t>
      </w:r>
      <w:r w:rsidR="001E3FE8">
        <w:rPr>
          <w:rFonts w:ascii="Arial" w:eastAsia="Times New Roman" w:hAnsi="Arial" w:cs="Arial"/>
          <w:sz w:val="24"/>
          <w:szCs w:val="24"/>
          <w:lang w:eastAsia="hr-HR"/>
        </w:rPr>
        <w:t>731.032,39</w:t>
      </w:r>
      <w:r w:rsidR="000E1120"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w:t>
      </w:r>
      <w:r w:rsidR="00CD1616" w:rsidRPr="00A17B6F">
        <w:rPr>
          <w:rFonts w:ascii="Arial" w:eastAsia="Times New Roman" w:hAnsi="Arial" w:cs="Arial"/>
          <w:sz w:val="24"/>
          <w:szCs w:val="24"/>
          <w:lang w:eastAsia="hr-HR"/>
        </w:rPr>
        <w:t xml:space="preserve">koje su ostvarile veće prihode iz Državnog proračuna za financiranje plaća za zaposlene kao rezultat povećanja </w:t>
      </w:r>
      <w:r w:rsidR="00C16708" w:rsidRPr="00A17B6F">
        <w:rPr>
          <w:rFonts w:ascii="Arial" w:eastAsia="Times New Roman" w:hAnsi="Arial" w:cs="Arial"/>
          <w:sz w:val="24"/>
          <w:szCs w:val="24"/>
          <w:lang w:eastAsia="hr-HR"/>
        </w:rPr>
        <w:t xml:space="preserve">koeficijenata za obračun plaće zaposlenih u javnim službama u ožujku 2024. te </w:t>
      </w:r>
      <w:r w:rsidR="00C16708" w:rsidRPr="00A17B6F">
        <w:rPr>
          <w:rFonts w:ascii="Arial" w:eastAsia="Times New Roman" w:hAnsi="Arial" w:cs="Times New Roman"/>
          <w:lang w:eastAsia="hr-HR"/>
        </w:rPr>
        <w:t>povećanja iznosa materijalnih prava zaposlenih u javnim službama.</w:t>
      </w:r>
    </w:p>
    <w:p w14:paraId="31C97C67" w14:textId="184D1187" w:rsidR="000E1120" w:rsidRPr="00A17B6F" w:rsidRDefault="00966DDB" w:rsidP="00966DDB">
      <w:pPr>
        <w:spacing w:after="120" w:line="240" w:lineRule="auto"/>
        <w:ind w:firstLine="357"/>
        <w:jc w:val="both"/>
        <w:rPr>
          <w:rFonts w:ascii="Arial" w:eastAsia="Times New Roman" w:hAnsi="Arial" w:cs="Arial"/>
          <w:sz w:val="24"/>
          <w:szCs w:val="24"/>
          <w:lang w:eastAsia="hr-HR"/>
        </w:rPr>
      </w:pPr>
      <w:r w:rsidRPr="00A17B6F">
        <w:rPr>
          <w:rFonts w:ascii="Arial" w:eastAsia="Times New Roman" w:hAnsi="Arial" w:cs="Arial"/>
          <w:b/>
          <w:i/>
          <w:sz w:val="24"/>
          <w:szCs w:val="24"/>
          <w:lang w:eastAsia="hr-HR"/>
        </w:rPr>
        <w:t>Prijenosi između proračunskih korisnika istog proračuna</w:t>
      </w:r>
      <w:r w:rsidRPr="00A17B6F">
        <w:rPr>
          <w:rFonts w:ascii="Arial" w:eastAsia="Times New Roman" w:hAnsi="Arial" w:cs="Arial"/>
          <w:sz w:val="24"/>
          <w:szCs w:val="24"/>
          <w:lang w:eastAsia="hr-HR"/>
        </w:rPr>
        <w:t xml:space="preserve"> ostvareni su u prvoj polovici 202</w:t>
      </w:r>
      <w:r w:rsidR="00C16708"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u iznosu od </w:t>
      </w:r>
      <w:r w:rsidR="00C16708" w:rsidRPr="00A17B6F">
        <w:rPr>
          <w:rFonts w:ascii="Arial" w:eastAsia="Times New Roman" w:hAnsi="Arial" w:cs="Arial"/>
          <w:sz w:val="24"/>
          <w:szCs w:val="24"/>
          <w:lang w:eastAsia="hr-HR"/>
        </w:rPr>
        <w:t>159.663,99</w:t>
      </w:r>
      <w:r w:rsidR="000E1120" w:rsidRPr="00A17B6F">
        <w:rPr>
          <w:rFonts w:ascii="Arial" w:eastAsia="Times New Roman" w:hAnsi="Arial" w:cs="Arial"/>
          <w:sz w:val="24"/>
          <w:szCs w:val="24"/>
          <w:lang w:eastAsia="hr-HR"/>
        </w:rPr>
        <w:t xml:space="preserve"> eura. </w:t>
      </w:r>
      <w:r w:rsidR="00C16708" w:rsidRPr="00A17B6F">
        <w:rPr>
          <w:rFonts w:ascii="Arial" w:eastAsia="Times New Roman" w:hAnsi="Arial" w:cs="Arial"/>
          <w:sz w:val="24"/>
          <w:szCs w:val="24"/>
          <w:lang w:eastAsia="hr-HR"/>
        </w:rPr>
        <w:t>Veći</w:t>
      </w:r>
      <w:r w:rsidR="000E1120" w:rsidRPr="00A17B6F">
        <w:rPr>
          <w:rFonts w:ascii="Arial" w:eastAsia="Times New Roman" w:hAnsi="Arial" w:cs="Arial"/>
          <w:sz w:val="24"/>
          <w:szCs w:val="24"/>
          <w:lang w:eastAsia="hr-HR"/>
        </w:rPr>
        <w:t xml:space="preserve"> dio od navedenog iznosa odnosi se na prihod Županije (</w:t>
      </w:r>
      <w:r w:rsidR="00C16708" w:rsidRPr="00A17B6F">
        <w:rPr>
          <w:rFonts w:ascii="Arial" w:eastAsia="Times New Roman" w:hAnsi="Arial" w:cs="Arial"/>
          <w:sz w:val="24"/>
          <w:szCs w:val="24"/>
          <w:lang w:eastAsia="hr-HR"/>
        </w:rPr>
        <w:t>122.338,88</w:t>
      </w:r>
      <w:r w:rsidR="000E1120" w:rsidRPr="00A17B6F">
        <w:rPr>
          <w:rFonts w:ascii="Arial" w:eastAsia="Times New Roman" w:hAnsi="Arial" w:cs="Arial"/>
          <w:sz w:val="24"/>
          <w:szCs w:val="24"/>
          <w:lang w:eastAsia="hr-HR"/>
        </w:rPr>
        <w:t xml:space="preserve"> euro), a </w:t>
      </w:r>
      <w:r w:rsidR="00C16708" w:rsidRPr="00A17B6F">
        <w:rPr>
          <w:rFonts w:ascii="Arial" w:eastAsia="Times New Roman" w:hAnsi="Arial" w:cs="Arial"/>
          <w:sz w:val="24"/>
          <w:szCs w:val="24"/>
          <w:lang w:eastAsia="hr-HR"/>
        </w:rPr>
        <w:t>manji</w:t>
      </w:r>
      <w:r w:rsidR="000E1120" w:rsidRPr="00A17B6F">
        <w:rPr>
          <w:rFonts w:ascii="Arial" w:eastAsia="Times New Roman" w:hAnsi="Arial" w:cs="Arial"/>
          <w:sz w:val="24"/>
          <w:szCs w:val="24"/>
          <w:lang w:eastAsia="hr-HR"/>
        </w:rPr>
        <w:t xml:space="preserve"> na prihode proračunskih korisnika (</w:t>
      </w:r>
      <w:r w:rsidR="00C16708" w:rsidRPr="00A17B6F">
        <w:rPr>
          <w:rFonts w:ascii="Arial" w:eastAsia="Times New Roman" w:hAnsi="Arial" w:cs="Arial"/>
          <w:sz w:val="24"/>
          <w:szCs w:val="24"/>
          <w:lang w:eastAsia="hr-HR"/>
        </w:rPr>
        <w:t>37.325,11</w:t>
      </w:r>
      <w:r w:rsidR="000E1120" w:rsidRPr="00A17B6F">
        <w:rPr>
          <w:rFonts w:ascii="Arial" w:eastAsia="Times New Roman" w:hAnsi="Arial" w:cs="Arial"/>
          <w:sz w:val="24"/>
          <w:szCs w:val="24"/>
          <w:lang w:eastAsia="hr-HR"/>
        </w:rPr>
        <w:t xml:space="preserve"> eur</w:t>
      </w:r>
      <w:r w:rsidR="00C16708" w:rsidRPr="00A17B6F">
        <w:rPr>
          <w:rFonts w:ascii="Arial" w:eastAsia="Times New Roman" w:hAnsi="Arial" w:cs="Arial"/>
          <w:sz w:val="24"/>
          <w:szCs w:val="24"/>
          <w:lang w:eastAsia="hr-HR"/>
        </w:rPr>
        <w:t>a</w:t>
      </w:r>
      <w:r w:rsidR="000E1120" w:rsidRPr="00A17B6F">
        <w:rPr>
          <w:rFonts w:ascii="Arial" w:eastAsia="Times New Roman" w:hAnsi="Arial" w:cs="Arial"/>
          <w:sz w:val="24"/>
          <w:szCs w:val="24"/>
          <w:lang w:eastAsia="hr-HR"/>
        </w:rPr>
        <w:t>)</w:t>
      </w:r>
      <w:r w:rsidR="00C16708" w:rsidRPr="00A17B6F">
        <w:rPr>
          <w:rFonts w:ascii="Arial" w:eastAsia="Times New Roman" w:hAnsi="Arial" w:cs="Arial"/>
          <w:sz w:val="24"/>
          <w:szCs w:val="24"/>
          <w:lang w:eastAsia="hr-HR"/>
        </w:rPr>
        <w:t>.</w:t>
      </w:r>
      <w:r w:rsidR="00932CE7" w:rsidRPr="00A17B6F">
        <w:rPr>
          <w:rFonts w:ascii="Arial" w:eastAsia="Times New Roman" w:hAnsi="Arial" w:cs="Arial"/>
          <w:sz w:val="24"/>
          <w:szCs w:val="24"/>
          <w:lang w:eastAsia="hr-HR"/>
        </w:rPr>
        <w:t xml:space="preserve"> Županijski prihod odnosi se na priljeve od Ugostiteljske škole Opatija za provedbu EU projekata RCK Recept (113.447,28 eura) i MREŽA KOM5ENTNOSTI (8.891,60 eura). Prihodi proračunskih korisnika odnose se kako slijedi: 6.826,68 </w:t>
      </w:r>
      <w:r w:rsidR="00E03E1B" w:rsidRPr="00A17B6F">
        <w:rPr>
          <w:rFonts w:ascii="Arial" w:eastAsia="Times New Roman" w:hAnsi="Arial" w:cs="Arial"/>
          <w:sz w:val="24"/>
          <w:szCs w:val="24"/>
          <w:lang w:eastAsia="hr-HR"/>
        </w:rPr>
        <w:t xml:space="preserve">eura na prihode Srednje škole Dr. Antuna Barca, Crikvenica, </w:t>
      </w:r>
      <w:r w:rsidR="00932CE7" w:rsidRPr="00A17B6F">
        <w:rPr>
          <w:rFonts w:ascii="Arial" w:eastAsia="Times New Roman" w:hAnsi="Arial" w:cs="Arial"/>
          <w:sz w:val="24"/>
          <w:szCs w:val="24"/>
          <w:lang w:eastAsia="hr-HR"/>
        </w:rPr>
        <w:t xml:space="preserve">15.086,22 </w:t>
      </w:r>
      <w:r w:rsidR="00E03E1B" w:rsidRPr="00A17B6F">
        <w:rPr>
          <w:rFonts w:ascii="Arial" w:eastAsia="Times New Roman" w:hAnsi="Arial" w:cs="Arial"/>
          <w:sz w:val="24"/>
          <w:szCs w:val="24"/>
          <w:lang w:eastAsia="hr-HR"/>
        </w:rPr>
        <w:t>eura na prihode Srednje škol</w:t>
      </w:r>
      <w:r w:rsidR="00932CE7" w:rsidRPr="00A17B6F">
        <w:rPr>
          <w:rFonts w:ascii="Arial" w:eastAsia="Times New Roman" w:hAnsi="Arial" w:cs="Arial"/>
          <w:sz w:val="24"/>
          <w:szCs w:val="24"/>
          <w:lang w:eastAsia="hr-HR"/>
        </w:rPr>
        <w:t xml:space="preserve">e Ambroza </w:t>
      </w:r>
      <w:proofErr w:type="spellStart"/>
      <w:r w:rsidR="00932CE7" w:rsidRPr="00A17B6F">
        <w:rPr>
          <w:rFonts w:ascii="Arial" w:eastAsia="Times New Roman" w:hAnsi="Arial" w:cs="Arial"/>
          <w:sz w:val="24"/>
          <w:szCs w:val="24"/>
          <w:lang w:eastAsia="hr-HR"/>
        </w:rPr>
        <w:t>Haračića</w:t>
      </w:r>
      <w:proofErr w:type="spellEnd"/>
      <w:r w:rsidR="00932CE7" w:rsidRPr="00A17B6F">
        <w:rPr>
          <w:rFonts w:ascii="Arial" w:eastAsia="Times New Roman" w:hAnsi="Arial" w:cs="Arial"/>
          <w:sz w:val="24"/>
          <w:szCs w:val="24"/>
          <w:lang w:eastAsia="hr-HR"/>
        </w:rPr>
        <w:t>, Mali Lošinj te</w:t>
      </w:r>
      <w:r w:rsidR="00E03E1B" w:rsidRPr="00A17B6F">
        <w:rPr>
          <w:rFonts w:ascii="Arial" w:eastAsia="Times New Roman" w:hAnsi="Arial" w:cs="Arial"/>
          <w:sz w:val="24"/>
          <w:szCs w:val="24"/>
          <w:lang w:eastAsia="hr-HR"/>
        </w:rPr>
        <w:t xml:space="preserve"> </w:t>
      </w:r>
      <w:r w:rsidR="00932CE7" w:rsidRPr="00A17B6F">
        <w:rPr>
          <w:rFonts w:ascii="Arial" w:eastAsia="Times New Roman" w:hAnsi="Arial" w:cs="Arial"/>
          <w:sz w:val="24"/>
          <w:szCs w:val="24"/>
          <w:lang w:eastAsia="hr-HR"/>
        </w:rPr>
        <w:t>15.412,21</w:t>
      </w:r>
      <w:r w:rsidR="00E03E1B" w:rsidRPr="00A17B6F">
        <w:rPr>
          <w:rFonts w:ascii="Arial" w:eastAsia="Times New Roman" w:hAnsi="Arial" w:cs="Arial"/>
          <w:sz w:val="24"/>
          <w:szCs w:val="24"/>
          <w:lang w:eastAsia="hr-HR"/>
        </w:rPr>
        <w:t xml:space="preserve"> eur</w:t>
      </w:r>
      <w:r w:rsidR="00932CE7" w:rsidRPr="00A17B6F">
        <w:rPr>
          <w:rFonts w:ascii="Arial" w:eastAsia="Times New Roman" w:hAnsi="Arial" w:cs="Arial"/>
          <w:sz w:val="24"/>
          <w:szCs w:val="24"/>
          <w:lang w:eastAsia="hr-HR"/>
        </w:rPr>
        <w:t>o</w:t>
      </w:r>
      <w:r w:rsidR="00E03E1B" w:rsidRPr="00A17B6F">
        <w:rPr>
          <w:rFonts w:ascii="Arial" w:eastAsia="Times New Roman" w:hAnsi="Arial" w:cs="Arial"/>
          <w:sz w:val="24"/>
          <w:szCs w:val="24"/>
          <w:lang w:eastAsia="hr-HR"/>
        </w:rPr>
        <w:t xml:space="preserve"> na prihode Srednje ško</w:t>
      </w:r>
      <w:r w:rsidR="00932CE7" w:rsidRPr="00A17B6F">
        <w:rPr>
          <w:rFonts w:ascii="Arial" w:eastAsia="Times New Roman" w:hAnsi="Arial" w:cs="Arial"/>
          <w:sz w:val="24"/>
          <w:szCs w:val="24"/>
          <w:lang w:eastAsia="hr-HR"/>
        </w:rPr>
        <w:t>le Hrvatski kralj Zvonimir, Krk.</w:t>
      </w:r>
    </w:p>
    <w:p w14:paraId="4020A669" w14:textId="701584A8" w:rsidR="002B7A64" w:rsidRPr="00A17B6F" w:rsidRDefault="00966DDB" w:rsidP="00966DD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A17B6F">
        <w:rPr>
          <w:rFonts w:ascii="Arial" w:eastAsia="Times New Roman" w:hAnsi="Arial" w:cs="Times New Roman"/>
          <w:b/>
          <w:bCs/>
          <w:sz w:val="24"/>
          <w:szCs w:val="20"/>
          <w:lang w:eastAsia="hr-HR"/>
        </w:rPr>
        <w:t>Prihodi od imovine</w:t>
      </w:r>
      <w:r w:rsidRPr="00A17B6F">
        <w:rPr>
          <w:rFonts w:ascii="Arial" w:eastAsia="Times New Roman" w:hAnsi="Arial" w:cs="Times New Roman"/>
          <w:sz w:val="24"/>
          <w:szCs w:val="20"/>
          <w:lang w:eastAsia="hr-HR"/>
        </w:rPr>
        <w:t xml:space="preserve"> naplaćeni su u prvih šest mjeseci 202</w:t>
      </w:r>
      <w:r w:rsidR="00932CE7" w:rsidRPr="00A17B6F">
        <w:rPr>
          <w:rFonts w:ascii="Arial" w:eastAsia="Times New Roman" w:hAnsi="Arial" w:cs="Times New Roman"/>
          <w:sz w:val="24"/>
          <w:szCs w:val="20"/>
          <w:lang w:eastAsia="hr-HR"/>
        </w:rPr>
        <w:t>4</w:t>
      </w:r>
      <w:r w:rsidRPr="00A17B6F">
        <w:rPr>
          <w:rFonts w:ascii="Arial" w:eastAsia="Times New Roman" w:hAnsi="Arial" w:cs="Times New Roman"/>
          <w:sz w:val="24"/>
          <w:szCs w:val="20"/>
          <w:lang w:eastAsia="hr-HR"/>
        </w:rPr>
        <w:t xml:space="preserve">. godine u ukupnom iznosu od </w:t>
      </w:r>
      <w:r w:rsidR="00932CE7" w:rsidRPr="00A17B6F">
        <w:rPr>
          <w:rFonts w:ascii="Arial" w:eastAsia="Times New Roman" w:hAnsi="Arial" w:cs="Times New Roman"/>
          <w:sz w:val="24"/>
          <w:szCs w:val="20"/>
          <w:lang w:eastAsia="hr-HR"/>
        </w:rPr>
        <w:t>2.678.655,06</w:t>
      </w:r>
      <w:r w:rsidR="006F694E" w:rsidRPr="00A17B6F">
        <w:rPr>
          <w:rFonts w:ascii="Arial" w:eastAsia="Times New Roman" w:hAnsi="Arial" w:cs="Times New Roman"/>
          <w:sz w:val="24"/>
          <w:szCs w:val="20"/>
          <w:lang w:eastAsia="hr-HR"/>
        </w:rPr>
        <w:t xml:space="preserve"> eura</w:t>
      </w:r>
      <w:r w:rsidRPr="00A17B6F">
        <w:rPr>
          <w:rFonts w:ascii="Arial" w:eastAsia="Times New Roman" w:hAnsi="Arial" w:cs="Times New Roman"/>
          <w:sz w:val="24"/>
          <w:szCs w:val="20"/>
          <w:lang w:eastAsia="hr-HR"/>
        </w:rPr>
        <w:t xml:space="preserve"> ili </w:t>
      </w:r>
      <w:r w:rsidR="00932CE7" w:rsidRPr="00A17B6F">
        <w:rPr>
          <w:rFonts w:ascii="Arial" w:eastAsia="Times New Roman" w:hAnsi="Arial" w:cs="Times New Roman"/>
          <w:sz w:val="24"/>
          <w:szCs w:val="20"/>
          <w:lang w:eastAsia="hr-HR"/>
        </w:rPr>
        <w:t>82,59</w:t>
      </w:r>
      <w:r w:rsidRPr="00A17B6F">
        <w:rPr>
          <w:rFonts w:ascii="Arial" w:eastAsia="Times New Roman" w:hAnsi="Arial" w:cs="Times New Roman"/>
          <w:sz w:val="24"/>
          <w:szCs w:val="20"/>
          <w:lang w:eastAsia="hr-HR"/>
        </w:rPr>
        <w:t xml:space="preserve">% godišnjeg plana, odnosno </w:t>
      </w:r>
      <w:r w:rsidR="00932CE7" w:rsidRPr="00A17B6F">
        <w:rPr>
          <w:rFonts w:ascii="Arial" w:eastAsia="Times New Roman" w:hAnsi="Arial" w:cs="Times New Roman"/>
          <w:sz w:val="24"/>
          <w:szCs w:val="20"/>
          <w:lang w:eastAsia="hr-HR"/>
        </w:rPr>
        <w:t>1.492.484,24</w:t>
      </w:r>
      <w:r w:rsidR="006F694E" w:rsidRPr="00A17B6F">
        <w:rPr>
          <w:rFonts w:ascii="Arial" w:eastAsia="Times New Roman" w:hAnsi="Arial" w:cs="Times New Roman"/>
          <w:sz w:val="24"/>
          <w:szCs w:val="20"/>
          <w:lang w:eastAsia="hr-HR"/>
        </w:rPr>
        <w:t xml:space="preserve"> eura</w:t>
      </w:r>
      <w:r w:rsidRPr="00A17B6F">
        <w:rPr>
          <w:rFonts w:ascii="Arial" w:eastAsia="Times New Roman" w:hAnsi="Arial" w:cs="Times New Roman"/>
          <w:sz w:val="24"/>
          <w:szCs w:val="20"/>
          <w:lang w:eastAsia="hr-HR"/>
        </w:rPr>
        <w:t xml:space="preserve"> ili </w:t>
      </w:r>
      <w:r w:rsidR="00932CE7" w:rsidRPr="00A17B6F">
        <w:rPr>
          <w:rFonts w:ascii="Arial" w:eastAsia="Times New Roman" w:hAnsi="Arial" w:cs="Times New Roman"/>
          <w:sz w:val="24"/>
          <w:szCs w:val="20"/>
          <w:lang w:eastAsia="hr-HR"/>
        </w:rPr>
        <w:t>125,82</w:t>
      </w:r>
      <w:r w:rsidRPr="00A17B6F">
        <w:rPr>
          <w:rFonts w:ascii="Arial" w:eastAsia="Times New Roman" w:hAnsi="Arial" w:cs="Times New Roman"/>
          <w:sz w:val="24"/>
          <w:szCs w:val="20"/>
          <w:lang w:eastAsia="hr-HR"/>
        </w:rPr>
        <w:t xml:space="preserve">% </w:t>
      </w:r>
      <w:r w:rsidR="00932CE7" w:rsidRPr="00A17B6F">
        <w:rPr>
          <w:rFonts w:ascii="Arial" w:eastAsia="Times New Roman" w:hAnsi="Arial" w:cs="Times New Roman"/>
          <w:sz w:val="24"/>
          <w:szCs w:val="20"/>
          <w:lang w:eastAsia="hr-HR"/>
        </w:rPr>
        <w:t>više</w:t>
      </w:r>
      <w:r w:rsidRPr="00A17B6F">
        <w:rPr>
          <w:rFonts w:ascii="Arial" w:eastAsia="Times New Roman" w:hAnsi="Arial" w:cs="Times New Roman"/>
          <w:sz w:val="24"/>
          <w:szCs w:val="20"/>
          <w:lang w:eastAsia="hr-HR"/>
        </w:rPr>
        <w:t xml:space="preserve"> nego u istom razdoblju prošle godine. </w:t>
      </w:r>
      <w:r w:rsidR="002B7A64" w:rsidRPr="00A17B6F">
        <w:rPr>
          <w:rFonts w:ascii="Arial" w:eastAsia="Times New Roman" w:hAnsi="Arial" w:cs="Times New Roman"/>
          <w:sz w:val="24"/>
          <w:szCs w:val="20"/>
          <w:lang w:eastAsia="hr-HR"/>
        </w:rPr>
        <w:t xml:space="preserve">Od ukupnog iznosa prihoda od imovine, </w:t>
      </w:r>
      <w:r w:rsidR="00932CE7" w:rsidRPr="00A17B6F">
        <w:rPr>
          <w:rFonts w:ascii="Arial" w:eastAsia="Times New Roman" w:hAnsi="Arial" w:cs="Times New Roman"/>
          <w:sz w:val="24"/>
          <w:szCs w:val="20"/>
          <w:lang w:eastAsia="hr-HR"/>
        </w:rPr>
        <w:t>2.650.451,74</w:t>
      </w:r>
      <w:r w:rsidR="006F694E" w:rsidRPr="00A17B6F">
        <w:rPr>
          <w:rFonts w:ascii="Arial" w:eastAsia="Times New Roman" w:hAnsi="Arial" w:cs="Times New Roman"/>
          <w:sz w:val="24"/>
          <w:szCs w:val="20"/>
          <w:lang w:eastAsia="hr-HR"/>
        </w:rPr>
        <w:t xml:space="preserve"> eura</w:t>
      </w:r>
      <w:r w:rsidR="002B7A64" w:rsidRPr="00A17B6F">
        <w:rPr>
          <w:rFonts w:ascii="Arial" w:eastAsia="Times New Roman" w:hAnsi="Arial" w:cs="Times New Roman"/>
          <w:sz w:val="24"/>
          <w:szCs w:val="20"/>
          <w:lang w:eastAsia="hr-HR"/>
        </w:rPr>
        <w:t xml:space="preserve"> odnosi se na izvorni prihod Županije, a </w:t>
      </w:r>
      <w:r w:rsidR="00932CE7" w:rsidRPr="00A17B6F">
        <w:rPr>
          <w:rFonts w:ascii="Arial" w:eastAsia="Times New Roman" w:hAnsi="Arial" w:cs="Times New Roman"/>
          <w:sz w:val="24"/>
          <w:szCs w:val="20"/>
          <w:lang w:eastAsia="hr-HR"/>
        </w:rPr>
        <w:t>28.203,32</w:t>
      </w:r>
      <w:r w:rsidR="006F694E" w:rsidRPr="00A17B6F">
        <w:rPr>
          <w:rFonts w:ascii="Arial" w:eastAsia="Times New Roman" w:hAnsi="Arial" w:cs="Times New Roman"/>
          <w:sz w:val="24"/>
          <w:szCs w:val="20"/>
          <w:lang w:eastAsia="hr-HR"/>
        </w:rPr>
        <w:t xml:space="preserve"> eura</w:t>
      </w:r>
      <w:r w:rsidR="002B7A64" w:rsidRPr="00A17B6F">
        <w:rPr>
          <w:rFonts w:ascii="Arial" w:eastAsia="Times New Roman" w:hAnsi="Arial" w:cs="Times New Roman"/>
          <w:sz w:val="24"/>
          <w:szCs w:val="20"/>
          <w:lang w:eastAsia="hr-HR"/>
        </w:rPr>
        <w:t xml:space="preserve"> na prihod od imovine županijskih korisnika.</w:t>
      </w:r>
    </w:p>
    <w:p w14:paraId="365C32AA" w14:textId="77777777" w:rsidR="007F6576" w:rsidRPr="00A17B6F" w:rsidRDefault="007F6576" w:rsidP="00966DD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p>
    <w:p w14:paraId="5254C770" w14:textId="754D8C93" w:rsidR="007F6576" w:rsidRPr="00A17B6F" w:rsidRDefault="00966DDB" w:rsidP="00966DD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A17B6F">
        <w:rPr>
          <w:rFonts w:ascii="Arial" w:eastAsia="Times New Roman" w:hAnsi="Arial" w:cs="Times New Roman"/>
          <w:sz w:val="24"/>
          <w:szCs w:val="20"/>
          <w:lang w:eastAsia="hr-HR"/>
        </w:rPr>
        <w:t xml:space="preserve">Županija je prihode od imovine ostvarila na temelju financijske imovine u iznosu od </w:t>
      </w:r>
      <w:r w:rsidR="007F6576" w:rsidRPr="00A17B6F">
        <w:rPr>
          <w:rFonts w:ascii="Arial" w:eastAsia="Times New Roman" w:hAnsi="Arial" w:cs="Times New Roman"/>
          <w:sz w:val="24"/>
          <w:szCs w:val="20"/>
          <w:lang w:eastAsia="hr-HR"/>
        </w:rPr>
        <w:t>311.165,24</w:t>
      </w:r>
      <w:r w:rsidR="006F694E" w:rsidRPr="00A17B6F">
        <w:rPr>
          <w:rFonts w:ascii="Arial" w:eastAsia="Times New Roman" w:hAnsi="Arial" w:cs="Times New Roman"/>
          <w:sz w:val="24"/>
          <w:szCs w:val="20"/>
          <w:lang w:eastAsia="hr-HR"/>
        </w:rPr>
        <w:t xml:space="preserve"> eura</w:t>
      </w:r>
      <w:r w:rsidRPr="00A17B6F">
        <w:rPr>
          <w:rFonts w:ascii="Arial" w:eastAsia="Times New Roman" w:hAnsi="Arial" w:cs="Times New Roman"/>
          <w:sz w:val="24"/>
          <w:szCs w:val="20"/>
          <w:lang w:eastAsia="hr-HR"/>
        </w:rPr>
        <w:t xml:space="preserve"> (</w:t>
      </w:r>
      <w:r w:rsidR="007F6576" w:rsidRPr="00A17B6F">
        <w:rPr>
          <w:rFonts w:ascii="Arial" w:eastAsia="Times New Roman" w:hAnsi="Arial" w:cs="Times New Roman"/>
          <w:sz w:val="24"/>
          <w:szCs w:val="20"/>
          <w:lang w:eastAsia="hr-HR"/>
        </w:rPr>
        <w:t>304.800,00</w:t>
      </w:r>
      <w:r w:rsidR="006F694E" w:rsidRPr="00A17B6F">
        <w:rPr>
          <w:rFonts w:ascii="Arial" w:eastAsia="Times New Roman" w:hAnsi="Arial" w:cs="Times New Roman"/>
          <w:sz w:val="24"/>
          <w:szCs w:val="20"/>
          <w:lang w:eastAsia="hr-HR"/>
        </w:rPr>
        <w:t xml:space="preserve"> eura</w:t>
      </w:r>
      <w:r w:rsidRPr="00A17B6F">
        <w:rPr>
          <w:rFonts w:ascii="Arial" w:eastAsia="Times New Roman" w:hAnsi="Arial" w:cs="Times New Roman"/>
          <w:sz w:val="24"/>
          <w:szCs w:val="20"/>
          <w:lang w:eastAsia="hr-HR"/>
        </w:rPr>
        <w:t xml:space="preserve"> od dobiti trgovačkih društava i </w:t>
      </w:r>
      <w:r w:rsidR="007F6576" w:rsidRPr="00A17B6F">
        <w:rPr>
          <w:rFonts w:ascii="Arial" w:eastAsia="Times New Roman" w:hAnsi="Arial" w:cs="Times New Roman"/>
          <w:sz w:val="24"/>
          <w:szCs w:val="20"/>
          <w:lang w:eastAsia="hr-HR"/>
        </w:rPr>
        <w:t>6.365,24</w:t>
      </w:r>
      <w:r w:rsidR="006F694E" w:rsidRPr="00A17B6F">
        <w:rPr>
          <w:rFonts w:ascii="Arial" w:eastAsia="Times New Roman" w:hAnsi="Arial" w:cs="Times New Roman"/>
          <w:sz w:val="24"/>
          <w:szCs w:val="20"/>
          <w:lang w:eastAsia="hr-HR"/>
        </w:rPr>
        <w:t xml:space="preserve"> eura</w:t>
      </w:r>
      <w:r w:rsidRPr="00A17B6F">
        <w:rPr>
          <w:rFonts w:ascii="Arial" w:eastAsia="Times New Roman" w:hAnsi="Arial" w:cs="Times New Roman"/>
          <w:sz w:val="24"/>
          <w:szCs w:val="20"/>
          <w:lang w:eastAsia="hr-HR"/>
        </w:rPr>
        <w:t xml:space="preserve"> od kamata)</w:t>
      </w:r>
      <w:r w:rsidR="007F6576" w:rsidRPr="00A17B6F">
        <w:rPr>
          <w:rFonts w:ascii="Arial" w:eastAsia="Times New Roman" w:hAnsi="Arial" w:cs="Times New Roman"/>
          <w:sz w:val="24"/>
          <w:szCs w:val="20"/>
          <w:lang w:eastAsia="hr-HR"/>
        </w:rPr>
        <w:t>, uz povećanje u odnosu na prošlu godinu od 39.983,25 eura (14,74%) te</w:t>
      </w:r>
      <w:r w:rsidRPr="00A17B6F">
        <w:rPr>
          <w:rFonts w:ascii="Arial" w:eastAsia="Times New Roman" w:hAnsi="Arial" w:cs="Times New Roman"/>
          <w:sz w:val="24"/>
          <w:szCs w:val="20"/>
          <w:lang w:eastAsia="hr-HR"/>
        </w:rPr>
        <w:t xml:space="preserve"> nefinancijske imovine u iznosu od </w:t>
      </w:r>
      <w:r w:rsidR="007F6576" w:rsidRPr="00A17B6F">
        <w:rPr>
          <w:rFonts w:ascii="Arial" w:eastAsia="Times New Roman" w:hAnsi="Arial" w:cs="Times New Roman"/>
          <w:sz w:val="24"/>
          <w:szCs w:val="20"/>
          <w:lang w:eastAsia="hr-HR"/>
        </w:rPr>
        <w:t>2.339.286,50</w:t>
      </w:r>
      <w:r w:rsidR="006F694E" w:rsidRPr="00A17B6F">
        <w:rPr>
          <w:rFonts w:ascii="Arial" w:eastAsia="Times New Roman" w:hAnsi="Arial" w:cs="Times New Roman"/>
          <w:sz w:val="24"/>
          <w:szCs w:val="20"/>
          <w:lang w:eastAsia="hr-HR"/>
        </w:rPr>
        <w:t xml:space="preserve"> eura</w:t>
      </w:r>
      <w:r w:rsidR="007F6576" w:rsidRPr="00A17B6F">
        <w:rPr>
          <w:rFonts w:ascii="Arial" w:eastAsia="Times New Roman" w:hAnsi="Arial" w:cs="Times New Roman"/>
          <w:sz w:val="24"/>
          <w:szCs w:val="20"/>
          <w:lang w:eastAsia="hr-HR"/>
        </w:rPr>
        <w:t xml:space="preserve"> što je za 1.442.610,87 eura ili 160,88% više u odnosu na 2023. godinu. Navedeno značajno povećanje prihoda od nefinancijske imovine, u najvećoj mjeri je rezultat:</w:t>
      </w:r>
    </w:p>
    <w:p w14:paraId="1220FD8E" w14:textId="72882529" w:rsidR="007F6576" w:rsidRPr="00A17B6F" w:rsidRDefault="007F6576" w:rsidP="00966DDB">
      <w:pPr>
        <w:overflowPunct w:val="0"/>
        <w:autoSpaceDE w:val="0"/>
        <w:autoSpaceDN w:val="0"/>
        <w:adjustRightInd w:val="0"/>
        <w:spacing w:after="0" w:line="240" w:lineRule="auto"/>
        <w:ind w:firstLine="357"/>
        <w:jc w:val="both"/>
        <w:textAlignment w:val="baseline"/>
        <w:rPr>
          <w:rFonts w:ascii="Arial" w:eastAsia="Times New Roman" w:hAnsi="Arial" w:cs="Times New Roman"/>
          <w:sz w:val="10"/>
          <w:szCs w:val="10"/>
          <w:lang w:eastAsia="hr-HR"/>
        </w:rPr>
      </w:pPr>
    </w:p>
    <w:p w14:paraId="698EFBE4" w14:textId="536C39AB" w:rsidR="007F6576" w:rsidRPr="00A17B6F" w:rsidRDefault="007F6576" w:rsidP="007F6576">
      <w:pPr>
        <w:pStyle w:val="ListParagraph"/>
        <w:numPr>
          <w:ilvl w:val="0"/>
          <w:numId w:val="18"/>
        </w:numPr>
        <w:overflowPunct w:val="0"/>
        <w:autoSpaceDE w:val="0"/>
        <w:autoSpaceDN w:val="0"/>
        <w:adjustRightInd w:val="0"/>
        <w:jc w:val="both"/>
        <w:textAlignment w:val="baseline"/>
        <w:rPr>
          <w:rFonts w:ascii="Arial" w:hAnsi="Arial"/>
          <w:szCs w:val="20"/>
        </w:rPr>
      </w:pPr>
      <w:r w:rsidRPr="00A17B6F">
        <w:rPr>
          <w:rFonts w:ascii="Arial" w:hAnsi="Arial"/>
          <w:szCs w:val="20"/>
        </w:rPr>
        <w:t>ostvarenja prihoda po osnovi naknade za dozvole na pomorskom dobru u 2024. godini u iznosu od 582.792,45 eura, dok isti u 2023. godini nije ostvaren. Naime, novim Zakonom o pomorskom dobru i morskim lukama ("Narodne novine" broj 83/23) uvedene su dozvole na pomorskom dobru, kao upravni akt kojim se zamjenjuju dosadašnja koncesijska odobrenja, i kojima se ovlašteniku daje vremenski ograničeno pravo na obavljanje djelatnosti na pomorskom dobru. Sukladno članku 42. stavak 2. navedenog Zakona sredstva ostvarena od naknada za dozvole na pomorskom dobru prihod su jedinica lokalne samouprave 70% i 30% jedinica područne (regionalne) samouprave, na čijem se području pomorsko dobro nalazi,</w:t>
      </w:r>
    </w:p>
    <w:p w14:paraId="2D624C18" w14:textId="1072F34D" w:rsidR="007F6576" w:rsidRPr="00A17B6F" w:rsidRDefault="007F6576" w:rsidP="007F6576">
      <w:pPr>
        <w:pStyle w:val="ListParagraph"/>
        <w:numPr>
          <w:ilvl w:val="0"/>
          <w:numId w:val="18"/>
        </w:numPr>
        <w:overflowPunct w:val="0"/>
        <w:autoSpaceDE w:val="0"/>
        <w:autoSpaceDN w:val="0"/>
        <w:adjustRightInd w:val="0"/>
        <w:jc w:val="both"/>
        <w:textAlignment w:val="baseline"/>
        <w:rPr>
          <w:rFonts w:ascii="Arial" w:hAnsi="Arial"/>
          <w:szCs w:val="20"/>
        </w:rPr>
      </w:pPr>
      <w:r w:rsidRPr="00A17B6F">
        <w:rPr>
          <w:rFonts w:ascii="Arial" w:hAnsi="Arial"/>
          <w:szCs w:val="20"/>
        </w:rPr>
        <w:t xml:space="preserve">značajnog povećanja prihoda od naknade za upotrebu pomorskog dobra (u 2023. godini ostvareno je 62.405,81 eura, a u 2024. godini 641.569,58 eura) zbog činjenice da je Ministarstvo mora, prometa i infrastrukture obveznicima za 2023. godinu ispostavilo račune za naknadu za upotrebu pomorskog dobra </w:t>
      </w:r>
      <w:r w:rsidR="004F4746" w:rsidRPr="00A17B6F">
        <w:rPr>
          <w:rFonts w:ascii="Arial" w:hAnsi="Arial"/>
          <w:szCs w:val="20"/>
        </w:rPr>
        <w:t xml:space="preserve">tek </w:t>
      </w:r>
      <w:r w:rsidRPr="00A17B6F">
        <w:rPr>
          <w:rFonts w:ascii="Arial" w:hAnsi="Arial"/>
          <w:szCs w:val="20"/>
        </w:rPr>
        <w:t>krajem prosinca 2023. godine, iz čega proizlazi da se navedena naplata u tekućoj godini odnosi na zaduženja iz prethodne godine</w:t>
      </w:r>
      <w:r w:rsidR="004F4746" w:rsidRPr="00A17B6F">
        <w:rPr>
          <w:rFonts w:ascii="Arial" w:hAnsi="Arial"/>
          <w:szCs w:val="20"/>
        </w:rPr>
        <w:t>,</w:t>
      </w:r>
      <w:r w:rsidRPr="00A17B6F">
        <w:rPr>
          <w:rFonts w:ascii="Arial" w:hAnsi="Arial"/>
          <w:szCs w:val="20"/>
        </w:rPr>
        <w:t xml:space="preserve">  </w:t>
      </w:r>
    </w:p>
    <w:p w14:paraId="664D933B" w14:textId="68CCBC2B" w:rsidR="007F6576" w:rsidRPr="00A17B6F" w:rsidRDefault="007F6576" w:rsidP="007F6576">
      <w:pPr>
        <w:pStyle w:val="ListParagraph"/>
        <w:numPr>
          <w:ilvl w:val="0"/>
          <w:numId w:val="18"/>
        </w:numPr>
        <w:overflowPunct w:val="0"/>
        <w:autoSpaceDE w:val="0"/>
        <w:autoSpaceDN w:val="0"/>
        <w:adjustRightInd w:val="0"/>
        <w:jc w:val="both"/>
        <w:textAlignment w:val="baseline"/>
        <w:rPr>
          <w:rFonts w:ascii="Arial" w:hAnsi="Arial"/>
          <w:szCs w:val="20"/>
        </w:rPr>
      </w:pPr>
      <w:r w:rsidRPr="00A17B6F">
        <w:rPr>
          <w:rFonts w:ascii="Arial" w:hAnsi="Arial"/>
          <w:szCs w:val="20"/>
        </w:rPr>
        <w:t>povećane naplate prihoda po osnovi naknade z</w:t>
      </w:r>
      <w:r w:rsidR="004F4746" w:rsidRPr="00A17B6F">
        <w:rPr>
          <w:rFonts w:ascii="Arial" w:hAnsi="Arial"/>
          <w:szCs w:val="20"/>
        </w:rPr>
        <w:t>a koncesiju na pomorskom dobru za 257.166,28 eura.</w:t>
      </w:r>
    </w:p>
    <w:p w14:paraId="71B08FF3" w14:textId="77777777" w:rsidR="007F6576" w:rsidRPr="00A17B6F" w:rsidRDefault="007F6576" w:rsidP="00966DD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p>
    <w:p w14:paraId="1E3DCF81" w14:textId="645C30C4" w:rsidR="00966DDB" w:rsidRPr="00A17B6F" w:rsidRDefault="00966DDB" w:rsidP="00966DD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A17B6F">
        <w:rPr>
          <w:rFonts w:ascii="Arial" w:eastAsia="Times New Roman" w:hAnsi="Arial" w:cs="Times New Roman"/>
          <w:sz w:val="24"/>
          <w:szCs w:val="20"/>
          <w:lang w:eastAsia="hr-HR"/>
        </w:rPr>
        <w:t xml:space="preserve">Proračunski korisnici ostvarili su prihode od imovine po osnovi financijske imovine i to u iznosu od </w:t>
      </w:r>
      <w:r w:rsidR="004D0682" w:rsidRPr="00A17B6F">
        <w:rPr>
          <w:rFonts w:ascii="Arial" w:eastAsia="Times New Roman" w:hAnsi="Arial" w:cs="Times New Roman"/>
          <w:sz w:val="24"/>
          <w:szCs w:val="20"/>
          <w:lang w:eastAsia="hr-HR"/>
        </w:rPr>
        <w:t>4.697,12</w:t>
      </w:r>
      <w:r w:rsidR="00113644" w:rsidRPr="00A17B6F">
        <w:rPr>
          <w:rFonts w:ascii="Arial" w:eastAsia="Times New Roman" w:hAnsi="Arial" w:cs="Times New Roman"/>
          <w:sz w:val="24"/>
          <w:szCs w:val="20"/>
          <w:lang w:eastAsia="hr-HR"/>
        </w:rPr>
        <w:t xml:space="preserve"> eura</w:t>
      </w:r>
      <w:r w:rsidRPr="00A17B6F">
        <w:rPr>
          <w:rFonts w:ascii="Arial" w:eastAsia="Times New Roman" w:hAnsi="Arial" w:cs="Times New Roman"/>
          <w:sz w:val="24"/>
          <w:szCs w:val="20"/>
          <w:lang w:eastAsia="hr-HR"/>
        </w:rPr>
        <w:t xml:space="preserve">, te nefinancijske imovine u iznosu od </w:t>
      </w:r>
      <w:r w:rsidR="004D0682" w:rsidRPr="00A17B6F">
        <w:rPr>
          <w:rFonts w:ascii="Arial" w:eastAsia="Times New Roman" w:hAnsi="Arial" w:cs="Times New Roman"/>
          <w:sz w:val="24"/>
          <w:szCs w:val="20"/>
          <w:lang w:eastAsia="hr-HR"/>
        </w:rPr>
        <w:t>23.506,20</w:t>
      </w:r>
      <w:r w:rsidR="00113644" w:rsidRPr="00A17B6F">
        <w:rPr>
          <w:rFonts w:ascii="Arial" w:eastAsia="Times New Roman" w:hAnsi="Arial" w:cs="Times New Roman"/>
          <w:sz w:val="24"/>
          <w:szCs w:val="20"/>
          <w:lang w:eastAsia="hr-HR"/>
        </w:rPr>
        <w:t xml:space="preserve"> eura</w:t>
      </w:r>
      <w:r w:rsidRPr="00A17B6F">
        <w:rPr>
          <w:rFonts w:ascii="Arial" w:eastAsia="Times New Roman" w:hAnsi="Arial" w:cs="Times New Roman"/>
          <w:sz w:val="24"/>
          <w:szCs w:val="20"/>
          <w:lang w:eastAsia="hr-HR"/>
        </w:rPr>
        <w:t>.</w:t>
      </w:r>
      <w:r w:rsidR="00113644" w:rsidRPr="00A17B6F">
        <w:rPr>
          <w:rFonts w:ascii="Arial" w:eastAsia="Times New Roman" w:hAnsi="Arial" w:cs="Times New Roman"/>
          <w:sz w:val="24"/>
          <w:szCs w:val="20"/>
          <w:lang w:eastAsia="hr-HR"/>
        </w:rPr>
        <w:t xml:space="preserve"> Najveći prihod imovine kod proračunskih korisnika u prvoj polovici godine ostvarila JU Priroda (</w:t>
      </w:r>
      <w:r w:rsidR="004D0682" w:rsidRPr="00A17B6F">
        <w:rPr>
          <w:rFonts w:ascii="Arial" w:eastAsia="Times New Roman" w:hAnsi="Arial" w:cs="Times New Roman"/>
          <w:sz w:val="24"/>
          <w:szCs w:val="20"/>
          <w:lang w:eastAsia="hr-HR"/>
        </w:rPr>
        <w:t>22.673,20</w:t>
      </w:r>
      <w:r w:rsidR="00113644" w:rsidRPr="00A17B6F">
        <w:rPr>
          <w:rFonts w:ascii="Arial" w:eastAsia="Times New Roman" w:hAnsi="Arial" w:cs="Times New Roman"/>
          <w:sz w:val="24"/>
          <w:szCs w:val="20"/>
          <w:lang w:eastAsia="hr-HR"/>
        </w:rPr>
        <w:t xml:space="preserve"> eura).</w:t>
      </w:r>
    </w:p>
    <w:p w14:paraId="444E4CF2" w14:textId="77777777" w:rsidR="00966DDB" w:rsidRPr="00A17B6F" w:rsidRDefault="00966DDB" w:rsidP="00966DDB">
      <w:pPr>
        <w:overflowPunct w:val="0"/>
        <w:autoSpaceDE w:val="0"/>
        <w:autoSpaceDN w:val="0"/>
        <w:adjustRightInd w:val="0"/>
        <w:spacing w:after="0" w:line="240" w:lineRule="auto"/>
        <w:ind w:firstLine="357"/>
        <w:jc w:val="both"/>
        <w:textAlignment w:val="baseline"/>
        <w:rPr>
          <w:rFonts w:ascii="Arial" w:eastAsia="Times New Roman" w:hAnsi="Arial" w:cs="Times New Roman"/>
          <w:sz w:val="20"/>
          <w:szCs w:val="20"/>
          <w:lang w:eastAsia="hr-HR"/>
        </w:rPr>
      </w:pPr>
    </w:p>
    <w:p w14:paraId="7D7970D7" w14:textId="5E829212" w:rsidR="008B2788" w:rsidRPr="00A17B6F" w:rsidRDefault="00966DDB" w:rsidP="00966DDB">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A17B6F">
        <w:rPr>
          <w:rFonts w:ascii="Arial" w:eastAsia="Times New Roman" w:hAnsi="Arial" w:cs="Arial"/>
          <w:b/>
          <w:bCs/>
          <w:sz w:val="24"/>
          <w:szCs w:val="20"/>
          <w:lang w:val="pl-PL" w:eastAsia="hr-HR"/>
        </w:rPr>
        <w:lastRenderedPageBreak/>
        <w:t>Ukupni prihodi</w:t>
      </w:r>
      <w:r w:rsidRPr="00A17B6F">
        <w:rPr>
          <w:rFonts w:ascii="Arial" w:eastAsia="Times New Roman" w:hAnsi="Arial" w:cs="Arial"/>
          <w:b/>
          <w:bCs/>
          <w:sz w:val="24"/>
          <w:szCs w:val="20"/>
          <w:lang w:eastAsia="hr-HR"/>
        </w:rPr>
        <w:t xml:space="preserve"> </w:t>
      </w:r>
      <w:r w:rsidRPr="00A17B6F">
        <w:rPr>
          <w:rFonts w:ascii="Arial" w:eastAsia="Times New Roman" w:hAnsi="Arial" w:cs="Arial"/>
          <w:b/>
          <w:bCs/>
          <w:sz w:val="24"/>
          <w:szCs w:val="20"/>
          <w:lang w:val="pl-PL" w:eastAsia="hr-HR"/>
        </w:rPr>
        <w:t>od</w:t>
      </w:r>
      <w:r w:rsidRPr="00A17B6F">
        <w:rPr>
          <w:rFonts w:ascii="Arial" w:eastAsia="Times New Roman" w:hAnsi="Arial" w:cs="Arial"/>
          <w:b/>
          <w:bCs/>
          <w:sz w:val="24"/>
          <w:szCs w:val="20"/>
          <w:lang w:eastAsia="hr-HR"/>
        </w:rPr>
        <w:t xml:space="preserve"> </w:t>
      </w:r>
      <w:r w:rsidRPr="00A17B6F">
        <w:rPr>
          <w:rFonts w:ascii="Arial" w:eastAsia="Times New Roman" w:hAnsi="Arial" w:cs="Arial"/>
          <w:b/>
          <w:bCs/>
          <w:sz w:val="24"/>
          <w:szCs w:val="20"/>
          <w:lang w:val="pl-PL" w:eastAsia="hr-HR"/>
        </w:rPr>
        <w:t>pristojbi</w:t>
      </w:r>
      <w:r w:rsidRPr="00A17B6F">
        <w:rPr>
          <w:rFonts w:ascii="Arial" w:eastAsia="Times New Roman" w:hAnsi="Arial" w:cs="Arial"/>
          <w:b/>
          <w:bCs/>
          <w:sz w:val="24"/>
          <w:szCs w:val="20"/>
          <w:lang w:eastAsia="hr-HR"/>
        </w:rPr>
        <w:t xml:space="preserve"> </w:t>
      </w:r>
      <w:r w:rsidRPr="00A17B6F">
        <w:rPr>
          <w:rFonts w:ascii="Arial" w:eastAsia="Times New Roman" w:hAnsi="Arial" w:cs="Arial"/>
          <w:b/>
          <w:bCs/>
          <w:sz w:val="24"/>
          <w:szCs w:val="20"/>
          <w:lang w:val="pl-PL" w:eastAsia="hr-HR"/>
        </w:rPr>
        <w:t>i</w:t>
      </w:r>
      <w:r w:rsidRPr="00A17B6F">
        <w:rPr>
          <w:rFonts w:ascii="Arial" w:eastAsia="Times New Roman" w:hAnsi="Arial" w:cs="Arial"/>
          <w:b/>
          <w:bCs/>
          <w:sz w:val="24"/>
          <w:szCs w:val="20"/>
          <w:lang w:eastAsia="hr-HR"/>
        </w:rPr>
        <w:t xml:space="preserve"> </w:t>
      </w:r>
      <w:r w:rsidRPr="00A17B6F">
        <w:rPr>
          <w:rFonts w:ascii="Arial" w:eastAsia="Times New Roman" w:hAnsi="Arial" w:cs="Arial"/>
          <w:b/>
          <w:bCs/>
          <w:sz w:val="24"/>
          <w:szCs w:val="20"/>
          <w:lang w:val="pl-PL" w:eastAsia="hr-HR"/>
        </w:rPr>
        <w:t>naknada</w:t>
      </w:r>
      <w:r w:rsidRPr="00A17B6F">
        <w:rPr>
          <w:rFonts w:ascii="Arial" w:eastAsia="Times New Roman" w:hAnsi="Arial" w:cs="Arial"/>
          <w:sz w:val="24"/>
          <w:szCs w:val="20"/>
          <w:lang w:eastAsia="hr-HR"/>
        </w:rPr>
        <w:t xml:space="preserve"> </w:t>
      </w:r>
      <w:r w:rsidRPr="00A17B6F">
        <w:rPr>
          <w:rFonts w:ascii="Arial" w:eastAsia="Times New Roman" w:hAnsi="Arial" w:cs="Arial"/>
          <w:sz w:val="24"/>
          <w:szCs w:val="20"/>
          <w:lang w:val="pl-PL" w:eastAsia="hr-HR"/>
        </w:rPr>
        <w:t>napla</w:t>
      </w:r>
      <w:r w:rsidRPr="00A17B6F">
        <w:rPr>
          <w:rFonts w:ascii="Arial" w:eastAsia="Times New Roman" w:hAnsi="Arial" w:cs="Arial"/>
          <w:sz w:val="24"/>
          <w:szCs w:val="20"/>
          <w:lang w:eastAsia="hr-HR"/>
        </w:rPr>
        <w:t>ć</w:t>
      </w:r>
      <w:r w:rsidRPr="00A17B6F">
        <w:rPr>
          <w:rFonts w:ascii="Arial" w:eastAsia="Times New Roman" w:hAnsi="Arial" w:cs="Arial"/>
          <w:sz w:val="24"/>
          <w:szCs w:val="20"/>
          <w:lang w:val="pl-PL" w:eastAsia="hr-HR"/>
        </w:rPr>
        <w:t>eni</w:t>
      </w:r>
      <w:r w:rsidRPr="00A17B6F">
        <w:rPr>
          <w:rFonts w:ascii="Arial" w:eastAsia="Times New Roman" w:hAnsi="Arial" w:cs="Arial"/>
          <w:sz w:val="24"/>
          <w:szCs w:val="20"/>
          <w:lang w:eastAsia="hr-HR"/>
        </w:rPr>
        <w:t xml:space="preserve"> </w:t>
      </w:r>
      <w:r w:rsidRPr="00A17B6F">
        <w:rPr>
          <w:rFonts w:ascii="Arial" w:eastAsia="Times New Roman" w:hAnsi="Arial" w:cs="Arial"/>
          <w:sz w:val="24"/>
          <w:szCs w:val="20"/>
          <w:lang w:val="pl-PL" w:eastAsia="hr-HR"/>
        </w:rPr>
        <w:t>su</w:t>
      </w:r>
      <w:r w:rsidRPr="00A17B6F">
        <w:rPr>
          <w:rFonts w:ascii="Arial" w:eastAsia="Times New Roman" w:hAnsi="Arial" w:cs="Arial"/>
          <w:sz w:val="24"/>
          <w:szCs w:val="20"/>
          <w:lang w:eastAsia="hr-HR"/>
        </w:rPr>
        <w:t xml:space="preserve"> </w:t>
      </w:r>
      <w:r w:rsidRPr="00A17B6F">
        <w:rPr>
          <w:rFonts w:ascii="Arial" w:eastAsia="Times New Roman" w:hAnsi="Arial" w:cs="Arial"/>
          <w:sz w:val="24"/>
          <w:szCs w:val="20"/>
          <w:lang w:val="pl-PL" w:eastAsia="hr-HR"/>
        </w:rPr>
        <w:t>u</w:t>
      </w:r>
      <w:r w:rsidRPr="00A17B6F">
        <w:rPr>
          <w:rFonts w:ascii="Arial" w:eastAsia="Times New Roman" w:hAnsi="Arial" w:cs="Arial"/>
          <w:sz w:val="24"/>
          <w:szCs w:val="20"/>
          <w:lang w:eastAsia="hr-HR"/>
        </w:rPr>
        <w:t xml:space="preserve"> </w:t>
      </w:r>
      <w:r w:rsidRPr="00A17B6F">
        <w:rPr>
          <w:rFonts w:ascii="Arial" w:eastAsia="Times New Roman" w:hAnsi="Arial" w:cs="Arial"/>
          <w:sz w:val="24"/>
          <w:szCs w:val="20"/>
          <w:lang w:val="pl-PL" w:eastAsia="hr-HR"/>
        </w:rPr>
        <w:t>prvom polugodištu 202</w:t>
      </w:r>
      <w:r w:rsidR="008B2788" w:rsidRPr="00A17B6F">
        <w:rPr>
          <w:rFonts w:ascii="Arial" w:eastAsia="Times New Roman" w:hAnsi="Arial" w:cs="Arial"/>
          <w:sz w:val="24"/>
          <w:szCs w:val="20"/>
          <w:lang w:val="pl-PL" w:eastAsia="hr-HR"/>
        </w:rPr>
        <w:t>4</w:t>
      </w:r>
      <w:r w:rsidRPr="00A17B6F">
        <w:rPr>
          <w:rFonts w:ascii="Arial" w:eastAsia="Times New Roman" w:hAnsi="Arial" w:cs="Arial"/>
          <w:sz w:val="24"/>
          <w:szCs w:val="20"/>
          <w:lang w:val="pl-PL" w:eastAsia="hr-HR"/>
        </w:rPr>
        <w:t>. godine</w:t>
      </w:r>
      <w:r w:rsidRPr="00A17B6F">
        <w:rPr>
          <w:rFonts w:ascii="Arial" w:eastAsia="Times New Roman" w:hAnsi="Arial" w:cs="Arial"/>
          <w:sz w:val="24"/>
          <w:szCs w:val="20"/>
          <w:lang w:eastAsia="hr-HR"/>
        </w:rPr>
        <w:t xml:space="preserve"> </w:t>
      </w:r>
      <w:r w:rsidRPr="00A17B6F">
        <w:rPr>
          <w:rFonts w:ascii="Arial" w:eastAsia="Times New Roman" w:hAnsi="Arial" w:cs="Arial"/>
          <w:sz w:val="24"/>
          <w:szCs w:val="20"/>
          <w:lang w:val="pl-PL" w:eastAsia="hr-HR"/>
        </w:rPr>
        <w:t>u</w:t>
      </w:r>
      <w:r w:rsidRPr="00A17B6F">
        <w:rPr>
          <w:rFonts w:ascii="Arial" w:eastAsia="Times New Roman" w:hAnsi="Arial" w:cs="Arial"/>
          <w:sz w:val="24"/>
          <w:szCs w:val="20"/>
          <w:lang w:eastAsia="hr-HR"/>
        </w:rPr>
        <w:t xml:space="preserve"> </w:t>
      </w:r>
      <w:r w:rsidRPr="00A17B6F">
        <w:rPr>
          <w:rFonts w:ascii="Arial" w:eastAsia="Times New Roman" w:hAnsi="Arial" w:cs="Arial"/>
          <w:sz w:val="24"/>
          <w:szCs w:val="20"/>
          <w:lang w:val="pl-PL" w:eastAsia="hr-HR"/>
        </w:rPr>
        <w:t>iznosu</w:t>
      </w:r>
      <w:r w:rsidRPr="00A17B6F">
        <w:rPr>
          <w:rFonts w:ascii="Arial" w:eastAsia="Times New Roman" w:hAnsi="Arial" w:cs="Arial"/>
          <w:sz w:val="24"/>
          <w:szCs w:val="20"/>
          <w:lang w:eastAsia="hr-HR"/>
        </w:rPr>
        <w:t xml:space="preserve"> </w:t>
      </w:r>
      <w:r w:rsidRPr="00A17B6F">
        <w:rPr>
          <w:rFonts w:ascii="Arial" w:eastAsia="Times New Roman" w:hAnsi="Arial" w:cs="Arial"/>
          <w:sz w:val="24"/>
          <w:szCs w:val="20"/>
          <w:lang w:val="pl-PL" w:eastAsia="hr-HR"/>
        </w:rPr>
        <w:t>od</w:t>
      </w:r>
      <w:r w:rsidRPr="00A17B6F">
        <w:rPr>
          <w:rFonts w:ascii="Arial" w:eastAsia="Times New Roman" w:hAnsi="Arial" w:cs="Arial"/>
          <w:sz w:val="24"/>
          <w:szCs w:val="20"/>
          <w:lang w:eastAsia="hr-HR"/>
        </w:rPr>
        <w:t xml:space="preserve"> </w:t>
      </w:r>
      <w:r w:rsidR="008B2788" w:rsidRPr="00A17B6F">
        <w:rPr>
          <w:rFonts w:ascii="Arial" w:eastAsia="Times New Roman" w:hAnsi="Arial" w:cs="Arial"/>
          <w:sz w:val="24"/>
          <w:szCs w:val="20"/>
          <w:lang w:eastAsia="hr-HR"/>
        </w:rPr>
        <w:t>7.645.508,73</w:t>
      </w:r>
      <w:r w:rsidR="00113644" w:rsidRPr="00A17B6F">
        <w:rPr>
          <w:rFonts w:ascii="Arial" w:eastAsia="Times New Roman" w:hAnsi="Arial" w:cs="Arial"/>
          <w:sz w:val="24"/>
          <w:szCs w:val="20"/>
          <w:lang w:eastAsia="hr-HR"/>
        </w:rPr>
        <w:t xml:space="preserve"> eura</w:t>
      </w:r>
      <w:r w:rsidRPr="00A17B6F">
        <w:rPr>
          <w:rFonts w:ascii="Arial" w:eastAsia="Times New Roman" w:hAnsi="Arial" w:cs="Arial"/>
          <w:sz w:val="24"/>
          <w:szCs w:val="20"/>
          <w:lang w:eastAsia="hr-HR"/>
        </w:rPr>
        <w:t xml:space="preserve"> ili </w:t>
      </w:r>
      <w:r w:rsidR="008B2788" w:rsidRPr="00A17B6F">
        <w:rPr>
          <w:rFonts w:ascii="Arial" w:eastAsia="Times New Roman" w:hAnsi="Arial" w:cs="Arial"/>
          <w:sz w:val="24"/>
          <w:szCs w:val="20"/>
          <w:lang w:eastAsia="hr-HR"/>
        </w:rPr>
        <w:t>52,07</w:t>
      </w:r>
      <w:r w:rsidRPr="00A17B6F">
        <w:rPr>
          <w:rFonts w:ascii="Arial" w:eastAsia="Times New Roman" w:hAnsi="Arial" w:cs="Arial"/>
          <w:sz w:val="24"/>
          <w:szCs w:val="20"/>
          <w:lang w:eastAsia="hr-HR"/>
        </w:rPr>
        <w:t xml:space="preserve">% godišnjeg plana, te su za </w:t>
      </w:r>
      <w:r w:rsidR="008B2788" w:rsidRPr="00A17B6F">
        <w:rPr>
          <w:rFonts w:ascii="Arial" w:eastAsia="Times New Roman" w:hAnsi="Arial" w:cs="Arial"/>
          <w:sz w:val="24"/>
          <w:szCs w:val="20"/>
          <w:lang w:eastAsia="hr-HR"/>
        </w:rPr>
        <w:t>1.000.088,59</w:t>
      </w:r>
      <w:r w:rsidR="00113644" w:rsidRPr="00A17B6F">
        <w:rPr>
          <w:rFonts w:ascii="Arial" w:eastAsia="Times New Roman" w:hAnsi="Arial" w:cs="Arial"/>
          <w:sz w:val="24"/>
          <w:szCs w:val="20"/>
          <w:lang w:eastAsia="hr-HR"/>
        </w:rPr>
        <w:t xml:space="preserve"> eura</w:t>
      </w:r>
      <w:r w:rsidRPr="00A17B6F">
        <w:rPr>
          <w:rFonts w:ascii="Arial" w:eastAsia="Times New Roman" w:hAnsi="Arial" w:cs="Arial"/>
          <w:sz w:val="24"/>
          <w:szCs w:val="20"/>
          <w:lang w:eastAsia="hr-HR"/>
        </w:rPr>
        <w:t xml:space="preserve"> više naplaćeni nego u istom razdoblju 202</w:t>
      </w:r>
      <w:r w:rsidR="008B2788" w:rsidRPr="00A17B6F">
        <w:rPr>
          <w:rFonts w:ascii="Arial" w:eastAsia="Times New Roman" w:hAnsi="Arial" w:cs="Arial"/>
          <w:sz w:val="24"/>
          <w:szCs w:val="20"/>
          <w:lang w:eastAsia="hr-HR"/>
        </w:rPr>
        <w:t>3</w:t>
      </w:r>
      <w:r w:rsidRPr="00A17B6F">
        <w:rPr>
          <w:rFonts w:ascii="Arial" w:eastAsia="Times New Roman" w:hAnsi="Arial" w:cs="Arial"/>
          <w:sz w:val="24"/>
          <w:szCs w:val="20"/>
          <w:lang w:eastAsia="hr-HR"/>
        </w:rPr>
        <w:t xml:space="preserve">. godine. Od navedenog iznosa </w:t>
      </w:r>
      <w:r w:rsidR="008B2788" w:rsidRPr="00A17B6F">
        <w:rPr>
          <w:rFonts w:ascii="Arial" w:eastAsia="Times New Roman" w:hAnsi="Arial" w:cs="Arial"/>
          <w:sz w:val="24"/>
          <w:szCs w:val="20"/>
          <w:lang w:eastAsia="hr-HR"/>
        </w:rPr>
        <w:t>380.571,19</w:t>
      </w:r>
      <w:r w:rsidR="00113644" w:rsidRPr="00A17B6F">
        <w:rPr>
          <w:rFonts w:ascii="Arial" w:eastAsia="Times New Roman" w:hAnsi="Arial" w:cs="Arial"/>
          <w:sz w:val="24"/>
          <w:szCs w:val="20"/>
          <w:lang w:eastAsia="hr-HR"/>
        </w:rPr>
        <w:t xml:space="preserve"> eura</w:t>
      </w:r>
      <w:r w:rsidRPr="00A17B6F">
        <w:rPr>
          <w:rFonts w:ascii="Arial" w:eastAsia="Times New Roman" w:hAnsi="Arial" w:cs="Arial"/>
          <w:sz w:val="24"/>
          <w:szCs w:val="20"/>
          <w:lang w:eastAsia="hr-HR"/>
        </w:rPr>
        <w:t xml:space="preserve"> odnosi se na prihode Županije</w:t>
      </w:r>
      <w:r w:rsidR="008B2788" w:rsidRPr="00A17B6F">
        <w:rPr>
          <w:rFonts w:ascii="Arial" w:eastAsia="Times New Roman" w:hAnsi="Arial" w:cs="Arial"/>
          <w:sz w:val="24"/>
          <w:szCs w:val="20"/>
          <w:lang w:eastAsia="hr-HR"/>
        </w:rPr>
        <w:t xml:space="preserve"> što je 10,76% više nego u istom razdoblju prethodne godine. Ukupni prihodi od pristojbi i naknada proračunskih korisnika u prvoj polovici tekuće godine su naplaćeni u iznosu od 7.264.937,54 eura što je 963.116,37 eura ili 15,28% više nego u prvih šest mjeseci 2023. godine, pri čemu najveći porast prihoda bilježe ustanova zdravstva (</w:t>
      </w:r>
      <w:r w:rsidR="0079708D" w:rsidRPr="00A17B6F">
        <w:rPr>
          <w:rFonts w:ascii="Arial" w:eastAsia="Times New Roman" w:hAnsi="Arial" w:cs="Arial"/>
          <w:sz w:val="24"/>
          <w:szCs w:val="20"/>
          <w:lang w:eastAsia="hr-HR"/>
        </w:rPr>
        <w:t>519.461,05 eura ili 26,76%) i ustanove socijalne skrbi (309.244,34 eura ili 10,61%).</w:t>
      </w:r>
    </w:p>
    <w:p w14:paraId="6C8E7411" w14:textId="5CAE41CE" w:rsidR="008B2788" w:rsidRPr="00A17B6F" w:rsidRDefault="008B2788" w:rsidP="00966DDB">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p>
    <w:p w14:paraId="04EA3E84" w14:textId="504BB11D" w:rsidR="00A33FC4" w:rsidRPr="00A17B6F" w:rsidRDefault="00966DDB" w:rsidP="00AA737A">
      <w:pPr>
        <w:spacing w:after="0" w:line="240" w:lineRule="auto"/>
        <w:ind w:firstLine="357"/>
        <w:jc w:val="both"/>
        <w:rPr>
          <w:rFonts w:ascii="Arial" w:eastAsia="Times New Roman" w:hAnsi="Arial" w:cs="Arial"/>
          <w:sz w:val="24"/>
          <w:szCs w:val="24"/>
          <w:lang w:eastAsia="hr-HR"/>
        </w:rPr>
      </w:pPr>
      <w:r w:rsidRPr="00A17B6F">
        <w:rPr>
          <w:rFonts w:ascii="Arial" w:eastAsia="Times New Roman" w:hAnsi="Arial" w:cs="Arial"/>
          <w:b/>
          <w:sz w:val="24"/>
          <w:szCs w:val="24"/>
          <w:lang w:eastAsia="hr-HR"/>
        </w:rPr>
        <w:t>Prihodi od prodaje proizvoda i robe te pruženih usluga i prihodi od donacija</w:t>
      </w:r>
      <w:r w:rsidRPr="00A17B6F">
        <w:rPr>
          <w:rFonts w:ascii="Arial" w:eastAsia="Times New Roman" w:hAnsi="Arial" w:cs="Arial"/>
          <w:sz w:val="24"/>
          <w:szCs w:val="24"/>
          <w:lang w:eastAsia="hr-HR"/>
        </w:rPr>
        <w:t xml:space="preserve"> u prvoj polovici 202</w:t>
      </w:r>
      <w:r w:rsidR="000F50C8"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ostvareni su u ukupnom iznosu od </w:t>
      </w:r>
      <w:r w:rsidR="000F50C8" w:rsidRPr="00A17B6F">
        <w:rPr>
          <w:rFonts w:ascii="Arial" w:eastAsia="Times New Roman" w:hAnsi="Arial" w:cs="Arial"/>
          <w:sz w:val="24"/>
          <w:szCs w:val="24"/>
          <w:lang w:eastAsia="hr-HR"/>
        </w:rPr>
        <w:t>5.416.503,72</w:t>
      </w:r>
      <w:r w:rsidR="00C81701" w:rsidRPr="00A17B6F">
        <w:rPr>
          <w:rFonts w:ascii="Arial" w:eastAsia="Times New Roman" w:hAnsi="Arial" w:cs="Arial"/>
          <w:sz w:val="24"/>
          <w:szCs w:val="24"/>
          <w:lang w:eastAsia="hr-HR"/>
        </w:rPr>
        <w:t xml:space="preserve"> eura</w:t>
      </w:r>
      <w:r w:rsidR="00A33FC4" w:rsidRPr="00A17B6F">
        <w:rPr>
          <w:rFonts w:ascii="Arial" w:eastAsia="Times New Roman" w:hAnsi="Arial" w:cs="Arial"/>
          <w:sz w:val="24"/>
          <w:szCs w:val="24"/>
          <w:lang w:eastAsia="hr-HR"/>
        </w:rPr>
        <w:t xml:space="preserve"> (</w:t>
      </w:r>
      <w:r w:rsidR="000F50C8" w:rsidRPr="00A17B6F">
        <w:rPr>
          <w:rFonts w:ascii="Arial" w:eastAsia="Times New Roman" w:hAnsi="Arial" w:cs="Arial"/>
          <w:sz w:val="24"/>
          <w:szCs w:val="24"/>
          <w:lang w:eastAsia="hr-HR"/>
        </w:rPr>
        <w:t>32,20</w:t>
      </w:r>
      <w:r w:rsidR="00A33FC4" w:rsidRPr="00A17B6F">
        <w:rPr>
          <w:rFonts w:ascii="Arial" w:eastAsia="Times New Roman" w:hAnsi="Arial" w:cs="Arial"/>
          <w:sz w:val="24"/>
          <w:szCs w:val="24"/>
          <w:lang w:eastAsia="hr-HR"/>
        </w:rPr>
        <w:t xml:space="preserve">% godišnjeg plana) što je </w:t>
      </w:r>
      <w:r w:rsidR="000F50C8" w:rsidRPr="00A17B6F">
        <w:rPr>
          <w:rFonts w:ascii="Arial" w:eastAsia="Times New Roman" w:hAnsi="Arial" w:cs="Arial"/>
          <w:sz w:val="24"/>
          <w:szCs w:val="24"/>
          <w:lang w:eastAsia="hr-HR"/>
        </w:rPr>
        <w:t>391.661,34</w:t>
      </w:r>
      <w:r w:rsidR="00C81701" w:rsidRPr="00A17B6F">
        <w:rPr>
          <w:rFonts w:ascii="Arial" w:eastAsia="Times New Roman" w:hAnsi="Arial" w:cs="Arial"/>
          <w:sz w:val="24"/>
          <w:szCs w:val="24"/>
          <w:lang w:eastAsia="hr-HR"/>
        </w:rPr>
        <w:t xml:space="preserve"> eura</w:t>
      </w:r>
      <w:r w:rsidR="00A33FC4" w:rsidRPr="00A17B6F">
        <w:rPr>
          <w:rFonts w:ascii="Arial" w:eastAsia="Times New Roman" w:hAnsi="Arial" w:cs="Arial"/>
          <w:sz w:val="24"/>
          <w:szCs w:val="24"/>
          <w:lang w:eastAsia="hr-HR"/>
        </w:rPr>
        <w:t xml:space="preserve"> (</w:t>
      </w:r>
      <w:r w:rsidR="000F50C8" w:rsidRPr="00A17B6F">
        <w:rPr>
          <w:rFonts w:ascii="Arial" w:eastAsia="Times New Roman" w:hAnsi="Arial" w:cs="Arial"/>
          <w:sz w:val="24"/>
          <w:szCs w:val="24"/>
          <w:lang w:eastAsia="hr-HR"/>
        </w:rPr>
        <w:t>7,79</w:t>
      </w:r>
      <w:r w:rsidR="00A33FC4" w:rsidRPr="00A17B6F">
        <w:rPr>
          <w:rFonts w:ascii="Arial" w:eastAsia="Times New Roman" w:hAnsi="Arial" w:cs="Arial"/>
          <w:sz w:val="24"/>
          <w:szCs w:val="24"/>
          <w:lang w:eastAsia="hr-HR"/>
        </w:rPr>
        <w:t xml:space="preserve">%) </w:t>
      </w:r>
      <w:r w:rsidR="000F50C8" w:rsidRPr="00A17B6F">
        <w:rPr>
          <w:rFonts w:ascii="Arial" w:eastAsia="Times New Roman" w:hAnsi="Arial" w:cs="Arial"/>
          <w:sz w:val="24"/>
          <w:szCs w:val="24"/>
          <w:lang w:eastAsia="hr-HR"/>
        </w:rPr>
        <w:t>više</w:t>
      </w:r>
      <w:r w:rsidR="00A33FC4" w:rsidRPr="00A17B6F">
        <w:rPr>
          <w:rFonts w:ascii="Arial" w:eastAsia="Times New Roman" w:hAnsi="Arial" w:cs="Arial"/>
          <w:sz w:val="24"/>
          <w:szCs w:val="24"/>
          <w:lang w:eastAsia="hr-HR"/>
        </w:rPr>
        <w:t xml:space="preserve"> u odnosu na </w:t>
      </w:r>
      <w:r w:rsidR="000E4AAF" w:rsidRPr="00A17B6F">
        <w:rPr>
          <w:rFonts w:ascii="Arial" w:eastAsia="Times New Roman" w:hAnsi="Arial" w:cs="Arial"/>
          <w:sz w:val="24"/>
          <w:szCs w:val="24"/>
          <w:lang w:eastAsia="hr-HR"/>
        </w:rPr>
        <w:t>promatrano razdoblje u 202</w:t>
      </w:r>
      <w:r w:rsidR="000F50C8" w:rsidRPr="00A17B6F">
        <w:rPr>
          <w:rFonts w:ascii="Arial" w:eastAsia="Times New Roman" w:hAnsi="Arial" w:cs="Arial"/>
          <w:sz w:val="24"/>
          <w:szCs w:val="24"/>
          <w:lang w:eastAsia="hr-HR"/>
        </w:rPr>
        <w:t>3</w:t>
      </w:r>
      <w:r w:rsidR="000E4AAF" w:rsidRPr="00A17B6F">
        <w:rPr>
          <w:rFonts w:ascii="Arial" w:eastAsia="Times New Roman" w:hAnsi="Arial" w:cs="Arial"/>
          <w:sz w:val="24"/>
          <w:szCs w:val="24"/>
          <w:lang w:eastAsia="hr-HR"/>
        </w:rPr>
        <w:t>. godini. Od navedenog iznosa naplate u prvih šest mjeseci, veći dio se odnosi na prihode proračunskih korisnika (</w:t>
      </w:r>
      <w:r w:rsidR="000F50C8" w:rsidRPr="00A17B6F">
        <w:rPr>
          <w:rFonts w:ascii="Arial" w:eastAsia="Times New Roman" w:hAnsi="Arial" w:cs="Arial"/>
          <w:sz w:val="24"/>
          <w:szCs w:val="24"/>
          <w:lang w:eastAsia="hr-HR"/>
        </w:rPr>
        <w:t>5.281.511,71</w:t>
      </w:r>
      <w:r w:rsidR="00C81701" w:rsidRPr="00A17B6F">
        <w:rPr>
          <w:rFonts w:ascii="Arial" w:eastAsia="Times New Roman" w:hAnsi="Arial" w:cs="Arial"/>
          <w:sz w:val="24"/>
          <w:szCs w:val="24"/>
          <w:lang w:eastAsia="hr-HR"/>
        </w:rPr>
        <w:t xml:space="preserve"> eur</w:t>
      </w:r>
      <w:r w:rsidR="000F50C8" w:rsidRPr="00A17B6F">
        <w:rPr>
          <w:rFonts w:ascii="Arial" w:eastAsia="Times New Roman" w:hAnsi="Arial" w:cs="Arial"/>
          <w:sz w:val="24"/>
          <w:szCs w:val="24"/>
          <w:lang w:eastAsia="hr-HR"/>
        </w:rPr>
        <w:t>o</w:t>
      </w:r>
      <w:r w:rsidR="000E4AAF" w:rsidRPr="00A17B6F">
        <w:rPr>
          <w:rFonts w:ascii="Arial" w:eastAsia="Times New Roman" w:hAnsi="Arial" w:cs="Arial"/>
          <w:sz w:val="24"/>
          <w:szCs w:val="24"/>
          <w:lang w:eastAsia="hr-HR"/>
        </w:rPr>
        <w:t>), a manji na prihode Županije (</w:t>
      </w:r>
      <w:r w:rsidR="000F50C8" w:rsidRPr="00A17B6F">
        <w:rPr>
          <w:rFonts w:ascii="Arial" w:eastAsia="Times New Roman" w:hAnsi="Arial" w:cs="Arial"/>
          <w:sz w:val="24"/>
          <w:szCs w:val="24"/>
          <w:lang w:eastAsia="hr-HR"/>
        </w:rPr>
        <w:t>134.992,01</w:t>
      </w:r>
      <w:r w:rsidR="00C81701" w:rsidRPr="00A17B6F">
        <w:rPr>
          <w:rFonts w:ascii="Arial" w:eastAsia="Times New Roman" w:hAnsi="Arial" w:cs="Arial"/>
          <w:sz w:val="24"/>
          <w:szCs w:val="24"/>
          <w:lang w:eastAsia="hr-HR"/>
        </w:rPr>
        <w:t xml:space="preserve"> eur</w:t>
      </w:r>
      <w:r w:rsidR="000F50C8" w:rsidRPr="00A17B6F">
        <w:rPr>
          <w:rFonts w:ascii="Arial" w:eastAsia="Times New Roman" w:hAnsi="Arial" w:cs="Arial"/>
          <w:sz w:val="24"/>
          <w:szCs w:val="24"/>
          <w:lang w:eastAsia="hr-HR"/>
        </w:rPr>
        <w:t>o</w:t>
      </w:r>
      <w:r w:rsidR="000E4AAF" w:rsidRPr="00A17B6F">
        <w:rPr>
          <w:rFonts w:ascii="Arial" w:eastAsia="Times New Roman" w:hAnsi="Arial" w:cs="Arial"/>
          <w:sz w:val="24"/>
          <w:szCs w:val="24"/>
          <w:lang w:eastAsia="hr-HR"/>
        </w:rPr>
        <w:t xml:space="preserve">). Navedeni </w:t>
      </w:r>
      <w:r w:rsidR="000F50C8" w:rsidRPr="00A17B6F">
        <w:rPr>
          <w:rFonts w:ascii="Arial" w:eastAsia="Times New Roman" w:hAnsi="Arial" w:cs="Arial"/>
          <w:sz w:val="24"/>
          <w:szCs w:val="24"/>
          <w:lang w:eastAsia="hr-HR"/>
        </w:rPr>
        <w:t>rast</w:t>
      </w:r>
      <w:r w:rsidR="000E4AAF" w:rsidRPr="00A17B6F">
        <w:rPr>
          <w:rFonts w:ascii="Arial" w:eastAsia="Times New Roman" w:hAnsi="Arial" w:cs="Arial"/>
          <w:sz w:val="24"/>
          <w:szCs w:val="24"/>
          <w:lang w:eastAsia="hr-HR"/>
        </w:rPr>
        <w:t xml:space="preserve"> u odnosu na 202</w:t>
      </w:r>
      <w:r w:rsidR="000F50C8" w:rsidRPr="00A17B6F">
        <w:rPr>
          <w:rFonts w:ascii="Arial" w:eastAsia="Times New Roman" w:hAnsi="Arial" w:cs="Arial"/>
          <w:sz w:val="24"/>
          <w:szCs w:val="24"/>
          <w:lang w:eastAsia="hr-HR"/>
        </w:rPr>
        <w:t>3</w:t>
      </w:r>
      <w:r w:rsidR="000E4AAF" w:rsidRPr="00A17B6F">
        <w:rPr>
          <w:rFonts w:ascii="Arial" w:eastAsia="Times New Roman" w:hAnsi="Arial" w:cs="Arial"/>
          <w:sz w:val="24"/>
          <w:szCs w:val="24"/>
          <w:lang w:eastAsia="hr-HR"/>
        </w:rPr>
        <w:t xml:space="preserve">. godinu prvenstveno je rezultat </w:t>
      </w:r>
      <w:r w:rsidR="000F50C8" w:rsidRPr="00A17B6F">
        <w:rPr>
          <w:rFonts w:ascii="Arial" w:eastAsia="Times New Roman" w:hAnsi="Arial" w:cs="Arial"/>
          <w:sz w:val="24"/>
          <w:szCs w:val="24"/>
          <w:lang w:eastAsia="hr-HR"/>
        </w:rPr>
        <w:t>rasta</w:t>
      </w:r>
      <w:r w:rsidR="000E4AAF" w:rsidRPr="00A17B6F">
        <w:rPr>
          <w:rFonts w:ascii="Arial" w:eastAsia="Times New Roman" w:hAnsi="Arial" w:cs="Arial"/>
          <w:sz w:val="24"/>
          <w:szCs w:val="24"/>
          <w:lang w:eastAsia="hr-HR"/>
        </w:rPr>
        <w:t xml:space="preserve"> navedenih prihoda kod ustanova zdravstva (</w:t>
      </w:r>
      <w:r w:rsidR="000F50C8" w:rsidRPr="00A17B6F">
        <w:rPr>
          <w:rFonts w:ascii="Arial" w:eastAsia="Times New Roman" w:hAnsi="Arial" w:cs="Arial"/>
          <w:sz w:val="24"/>
          <w:szCs w:val="24"/>
          <w:lang w:eastAsia="hr-HR"/>
        </w:rPr>
        <w:t>432.120,54</w:t>
      </w:r>
      <w:r w:rsidR="00C81701" w:rsidRPr="00A17B6F">
        <w:rPr>
          <w:rFonts w:ascii="Arial" w:eastAsia="Times New Roman" w:hAnsi="Arial" w:cs="Arial"/>
          <w:sz w:val="24"/>
          <w:szCs w:val="24"/>
          <w:lang w:eastAsia="hr-HR"/>
        </w:rPr>
        <w:t xml:space="preserve"> eura</w:t>
      </w:r>
      <w:r w:rsidR="000E4AAF" w:rsidRPr="00A17B6F">
        <w:rPr>
          <w:rFonts w:ascii="Arial" w:eastAsia="Times New Roman" w:hAnsi="Arial" w:cs="Arial"/>
          <w:sz w:val="24"/>
          <w:szCs w:val="24"/>
          <w:lang w:eastAsia="hr-HR"/>
        </w:rPr>
        <w:t>) što je pak posljedica</w:t>
      </w:r>
      <w:r w:rsidR="00F2682B" w:rsidRPr="00A17B6F">
        <w:rPr>
          <w:rFonts w:ascii="Arial" w:eastAsia="Times New Roman" w:hAnsi="Arial" w:cs="Arial"/>
          <w:sz w:val="24"/>
          <w:szCs w:val="24"/>
          <w:lang w:eastAsia="hr-HR"/>
        </w:rPr>
        <w:t>, s jedne strane,</w:t>
      </w:r>
      <w:r w:rsidR="000E4AAF" w:rsidRPr="00A17B6F">
        <w:rPr>
          <w:rFonts w:ascii="Arial" w:eastAsia="Times New Roman" w:hAnsi="Arial" w:cs="Arial"/>
          <w:sz w:val="24"/>
          <w:szCs w:val="24"/>
          <w:lang w:eastAsia="hr-HR"/>
        </w:rPr>
        <w:t xml:space="preserve"> </w:t>
      </w:r>
      <w:r w:rsidR="000F50C8" w:rsidRPr="00A17B6F">
        <w:rPr>
          <w:rFonts w:ascii="Arial" w:eastAsia="Times New Roman" w:hAnsi="Arial" w:cs="Arial"/>
          <w:sz w:val="24"/>
          <w:szCs w:val="24"/>
          <w:lang w:eastAsia="hr-HR"/>
        </w:rPr>
        <w:t xml:space="preserve">bolje naplate kod Nastavnog zavoda za javno zdravstvo (155.161,86 eura), </w:t>
      </w:r>
      <w:proofErr w:type="spellStart"/>
      <w:r w:rsidR="00AA737A" w:rsidRPr="00A17B6F">
        <w:rPr>
          <w:rFonts w:ascii="Arial" w:eastAsia="Times New Roman" w:hAnsi="Arial" w:cs="Arial"/>
          <w:sz w:val="24"/>
          <w:szCs w:val="24"/>
          <w:lang w:eastAsia="hr-HR"/>
        </w:rPr>
        <w:t>Thalassotherapie</w:t>
      </w:r>
      <w:proofErr w:type="spellEnd"/>
      <w:r w:rsidR="00AA737A" w:rsidRPr="00A17B6F">
        <w:rPr>
          <w:rFonts w:ascii="Arial" w:eastAsia="Times New Roman" w:hAnsi="Arial" w:cs="Arial"/>
          <w:sz w:val="24"/>
          <w:szCs w:val="24"/>
          <w:lang w:eastAsia="hr-HR"/>
        </w:rPr>
        <w:t xml:space="preserve"> Opatija (113.774,15 eura), </w:t>
      </w:r>
      <w:proofErr w:type="spellStart"/>
      <w:r w:rsidR="00AA737A" w:rsidRPr="00A17B6F">
        <w:rPr>
          <w:rFonts w:ascii="Arial" w:eastAsia="Times New Roman" w:hAnsi="Arial" w:cs="Arial"/>
          <w:sz w:val="24"/>
          <w:szCs w:val="24"/>
          <w:lang w:eastAsia="hr-HR"/>
        </w:rPr>
        <w:t>Thalassotherapie</w:t>
      </w:r>
      <w:proofErr w:type="spellEnd"/>
      <w:r w:rsidR="00AA737A" w:rsidRPr="00A17B6F">
        <w:rPr>
          <w:rFonts w:ascii="Arial" w:eastAsia="Times New Roman" w:hAnsi="Arial" w:cs="Arial"/>
          <w:sz w:val="24"/>
          <w:szCs w:val="24"/>
          <w:lang w:eastAsia="hr-HR"/>
        </w:rPr>
        <w:t xml:space="preserve"> Crikvenica (141.876,62 eura), Zavoda za hitnu medicinu (46.692,19 eura) i županijske specijalne bolnice za psihijatriju i rehabilitaciju INSULE (1.005,41 euro) te, </w:t>
      </w:r>
      <w:r w:rsidR="00F2682B" w:rsidRPr="00A17B6F">
        <w:rPr>
          <w:rFonts w:ascii="Arial" w:eastAsia="Times New Roman" w:hAnsi="Arial" w:cs="Arial"/>
          <w:sz w:val="24"/>
          <w:szCs w:val="24"/>
          <w:lang w:eastAsia="hr-HR"/>
        </w:rPr>
        <w:t xml:space="preserve">s druge strane, </w:t>
      </w:r>
      <w:r w:rsidR="00AA737A" w:rsidRPr="00A17B6F">
        <w:rPr>
          <w:rFonts w:ascii="Arial" w:eastAsia="Times New Roman" w:hAnsi="Arial" w:cs="Arial"/>
          <w:sz w:val="24"/>
          <w:szCs w:val="24"/>
          <w:lang w:eastAsia="hr-HR"/>
        </w:rPr>
        <w:t>slabije</w:t>
      </w:r>
      <w:r w:rsidR="00F2682B" w:rsidRPr="00A17B6F">
        <w:rPr>
          <w:rFonts w:ascii="Arial" w:eastAsia="Times New Roman" w:hAnsi="Arial" w:cs="Arial"/>
          <w:sz w:val="24"/>
          <w:szCs w:val="24"/>
          <w:lang w:eastAsia="hr-HR"/>
        </w:rPr>
        <w:t xml:space="preserve"> naplate kod </w:t>
      </w:r>
      <w:r w:rsidR="00AA737A" w:rsidRPr="00A17B6F">
        <w:rPr>
          <w:rFonts w:ascii="Arial" w:eastAsia="Times New Roman" w:hAnsi="Arial" w:cs="Arial"/>
          <w:sz w:val="24"/>
          <w:szCs w:val="24"/>
          <w:lang w:eastAsia="hr-HR"/>
        </w:rPr>
        <w:t>Doma zdravlja</w:t>
      </w:r>
      <w:r w:rsidR="00F2682B" w:rsidRPr="00A17B6F">
        <w:rPr>
          <w:rFonts w:ascii="Arial" w:eastAsia="Times New Roman" w:hAnsi="Arial" w:cs="Arial"/>
          <w:sz w:val="24"/>
          <w:szCs w:val="24"/>
          <w:lang w:eastAsia="hr-HR"/>
        </w:rPr>
        <w:t xml:space="preserve"> (</w:t>
      </w:r>
      <w:r w:rsidR="00AA737A" w:rsidRPr="00A17B6F">
        <w:rPr>
          <w:rFonts w:ascii="Arial" w:eastAsia="Times New Roman" w:hAnsi="Arial" w:cs="Arial"/>
          <w:sz w:val="24"/>
          <w:szCs w:val="24"/>
          <w:lang w:eastAsia="hr-HR"/>
        </w:rPr>
        <w:t>16.381,56</w:t>
      </w:r>
      <w:r w:rsidR="00CC3BEF" w:rsidRPr="00A17B6F">
        <w:rPr>
          <w:rFonts w:ascii="Arial" w:eastAsia="Times New Roman" w:hAnsi="Arial" w:cs="Arial"/>
          <w:sz w:val="24"/>
          <w:szCs w:val="24"/>
          <w:lang w:eastAsia="hr-HR"/>
        </w:rPr>
        <w:t xml:space="preserve"> eura</w:t>
      </w:r>
      <w:r w:rsidR="00AA737A" w:rsidRPr="00A17B6F">
        <w:rPr>
          <w:rFonts w:ascii="Arial" w:eastAsia="Times New Roman" w:hAnsi="Arial" w:cs="Arial"/>
          <w:sz w:val="24"/>
          <w:szCs w:val="24"/>
          <w:lang w:eastAsia="hr-HR"/>
        </w:rPr>
        <w:t xml:space="preserve">) </w:t>
      </w:r>
      <w:r w:rsidR="00F2682B" w:rsidRPr="00A17B6F">
        <w:rPr>
          <w:rFonts w:ascii="Arial" w:eastAsia="Times New Roman" w:hAnsi="Arial" w:cs="Arial"/>
          <w:sz w:val="24"/>
          <w:szCs w:val="24"/>
          <w:lang w:eastAsia="hr-HR"/>
        </w:rPr>
        <w:t>i Lječilišta Veli Lošinj (</w:t>
      </w:r>
      <w:r w:rsidR="00AA737A" w:rsidRPr="00A17B6F">
        <w:rPr>
          <w:rFonts w:ascii="Arial" w:eastAsia="Times New Roman" w:hAnsi="Arial" w:cs="Arial"/>
          <w:sz w:val="24"/>
          <w:szCs w:val="24"/>
          <w:lang w:eastAsia="hr-HR"/>
        </w:rPr>
        <w:t>10.008,13</w:t>
      </w:r>
      <w:r w:rsidR="00FD554C" w:rsidRPr="00A17B6F">
        <w:rPr>
          <w:rFonts w:ascii="Arial" w:eastAsia="Times New Roman" w:hAnsi="Arial" w:cs="Arial"/>
          <w:sz w:val="24"/>
          <w:szCs w:val="24"/>
          <w:lang w:eastAsia="hr-HR"/>
        </w:rPr>
        <w:t xml:space="preserve"> eura</w:t>
      </w:r>
      <w:r w:rsidR="00F2682B" w:rsidRPr="00A17B6F">
        <w:rPr>
          <w:rFonts w:ascii="Arial" w:eastAsia="Times New Roman" w:hAnsi="Arial" w:cs="Arial"/>
          <w:sz w:val="24"/>
          <w:szCs w:val="24"/>
          <w:lang w:eastAsia="hr-HR"/>
        </w:rPr>
        <w:t>).</w:t>
      </w:r>
      <w:r w:rsidR="00AA737A" w:rsidRPr="00A17B6F">
        <w:rPr>
          <w:rFonts w:ascii="Arial" w:eastAsia="Times New Roman" w:hAnsi="Arial" w:cs="Arial"/>
          <w:sz w:val="24"/>
          <w:szCs w:val="24"/>
          <w:lang w:eastAsia="hr-HR"/>
        </w:rPr>
        <w:t xml:space="preserve"> Prihod Županije odnosi se na prihod od donacije </w:t>
      </w:r>
      <w:proofErr w:type="spellStart"/>
      <w:r w:rsidR="00AA737A" w:rsidRPr="00A17B6F">
        <w:rPr>
          <w:rFonts w:ascii="Arial" w:eastAsia="Times New Roman" w:hAnsi="Arial" w:cs="Arial"/>
          <w:sz w:val="24"/>
          <w:szCs w:val="24"/>
          <w:lang w:eastAsia="hr-HR"/>
        </w:rPr>
        <w:t>Erste</w:t>
      </w:r>
      <w:r w:rsidR="00F62E2B" w:rsidRPr="00A17B6F">
        <w:rPr>
          <w:rFonts w:ascii="Arial" w:eastAsia="Times New Roman" w:hAnsi="Arial" w:cs="Arial"/>
          <w:sz w:val="24"/>
          <w:szCs w:val="24"/>
          <w:lang w:eastAsia="hr-HR"/>
        </w:rPr>
        <w:t>&amp;</w:t>
      </w:r>
      <w:r w:rsidR="00AA737A" w:rsidRPr="00A17B6F">
        <w:rPr>
          <w:rFonts w:ascii="Arial" w:eastAsia="Times New Roman" w:hAnsi="Arial" w:cs="Arial"/>
          <w:sz w:val="24"/>
          <w:szCs w:val="24"/>
          <w:lang w:eastAsia="hr-HR"/>
        </w:rPr>
        <w:t>Steier</w:t>
      </w:r>
      <w:r w:rsidR="00F62E2B" w:rsidRPr="00A17B6F">
        <w:rPr>
          <w:rFonts w:ascii="Arial" w:eastAsia="Times New Roman" w:hAnsi="Arial" w:cs="Arial"/>
          <w:sz w:val="24"/>
          <w:szCs w:val="24"/>
          <w:lang w:eastAsia="hr-HR"/>
        </w:rPr>
        <w:t>markische</w:t>
      </w:r>
      <w:proofErr w:type="spellEnd"/>
      <w:r w:rsidR="00F62E2B" w:rsidRPr="00A17B6F">
        <w:rPr>
          <w:rFonts w:ascii="Arial" w:eastAsia="Times New Roman" w:hAnsi="Arial" w:cs="Arial"/>
          <w:sz w:val="24"/>
          <w:szCs w:val="24"/>
          <w:lang w:eastAsia="hr-HR"/>
        </w:rPr>
        <w:t xml:space="preserve"> banke za financiranje programa u sportu (132.700,00 eura) i prihoda od isporuke električne energije (2.292,01 euro).</w:t>
      </w:r>
      <w:r w:rsidR="00AA737A" w:rsidRPr="00A17B6F">
        <w:rPr>
          <w:rFonts w:ascii="Arial" w:eastAsia="Times New Roman" w:hAnsi="Arial" w:cs="Arial"/>
          <w:sz w:val="24"/>
          <w:szCs w:val="24"/>
          <w:lang w:eastAsia="hr-HR"/>
        </w:rPr>
        <w:t xml:space="preserve"> </w:t>
      </w:r>
    </w:p>
    <w:p w14:paraId="53478860" w14:textId="77777777" w:rsidR="00A33FC4" w:rsidRPr="00A17B6F" w:rsidRDefault="00A33FC4" w:rsidP="00966DDB">
      <w:pPr>
        <w:spacing w:after="0" w:line="240" w:lineRule="auto"/>
        <w:ind w:firstLine="357"/>
        <w:jc w:val="both"/>
        <w:rPr>
          <w:rFonts w:ascii="Arial" w:eastAsia="Times New Roman" w:hAnsi="Arial" w:cs="Arial"/>
          <w:sz w:val="24"/>
          <w:szCs w:val="24"/>
          <w:lang w:eastAsia="hr-HR"/>
        </w:rPr>
      </w:pPr>
    </w:p>
    <w:p w14:paraId="1267973C" w14:textId="77777777" w:rsidR="00332FB0" w:rsidRPr="00A17B6F" w:rsidRDefault="00966DDB" w:rsidP="00A50C2C">
      <w:pPr>
        <w:spacing w:after="0" w:line="240" w:lineRule="auto"/>
        <w:ind w:firstLine="357"/>
        <w:jc w:val="both"/>
        <w:rPr>
          <w:rFonts w:ascii="Arial" w:eastAsia="Times New Roman" w:hAnsi="Arial" w:cs="Arial"/>
          <w:sz w:val="24"/>
          <w:szCs w:val="24"/>
          <w:lang w:eastAsia="hr-HR"/>
        </w:rPr>
      </w:pPr>
      <w:r w:rsidRPr="00A17B6F">
        <w:rPr>
          <w:rFonts w:ascii="Arial" w:eastAsia="Times New Roman" w:hAnsi="Arial" w:cs="Arial"/>
          <w:b/>
          <w:sz w:val="24"/>
          <w:szCs w:val="24"/>
          <w:lang w:eastAsia="hr-HR"/>
        </w:rPr>
        <w:t>Prihodi od HZZO-a na temelju ugovorenih obveza</w:t>
      </w:r>
      <w:r w:rsidRPr="00A17B6F">
        <w:rPr>
          <w:rFonts w:ascii="Arial" w:eastAsia="Times New Roman" w:hAnsi="Arial" w:cs="Arial"/>
          <w:sz w:val="24"/>
          <w:szCs w:val="24"/>
          <w:lang w:eastAsia="hr-HR"/>
        </w:rPr>
        <w:t xml:space="preserve"> ostvareni su u ovom izvještajnom razdoblju u iznosu od </w:t>
      </w:r>
      <w:r w:rsidR="00A50C2C" w:rsidRPr="00A17B6F">
        <w:rPr>
          <w:rFonts w:ascii="Arial" w:eastAsia="Times New Roman" w:hAnsi="Arial" w:cs="Arial"/>
          <w:sz w:val="24"/>
          <w:szCs w:val="24"/>
          <w:lang w:eastAsia="hr-HR"/>
        </w:rPr>
        <w:t>30.890.054,97</w:t>
      </w:r>
      <w:r w:rsidR="00F23CD8" w:rsidRPr="00A17B6F">
        <w:rPr>
          <w:rFonts w:ascii="Arial" w:eastAsia="Times New Roman" w:hAnsi="Arial" w:cs="Arial"/>
          <w:sz w:val="24"/>
          <w:szCs w:val="24"/>
          <w:lang w:eastAsia="hr-HR"/>
        </w:rPr>
        <w:t xml:space="preserve"> eur</w:t>
      </w:r>
      <w:r w:rsidR="00A50C2C" w:rsidRPr="00A17B6F">
        <w:rPr>
          <w:rFonts w:ascii="Arial" w:eastAsia="Times New Roman" w:hAnsi="Arial" w:cs="Arial"/>
          <w:sz w:val="24"/>
          <w:szCs w:val="24"/>
          <w:lang w:eastAsia="hr-HR"/>
        </w:rPr>
        <w:t>a</w:t>
      </w:r>
      <w:r w:rsidRPr="00A17B6F">
        <w:rPr>
          <w:rFonts w:ascii="Arial" w:eastAsia="Times New Roman" w:hAnsi="Arial" w:cs="Arial"/>
          <w:sz w:val="24"/>
          <w:szCs w:val="24"/>
          <w:lang w:eastAsia="hr-HR"/>
        </w:rPr>
        <w:t xml:space="preserve"> ili </w:t>
      </w:r>
      <w:r w:rsidR="00A50C2C" w:rsidRPr="00A17B6F">
        <w:rPr>
          <w:rFonts w:ascii="Arial" w:eastAsia="Times New Roman" w:hAnsi="Arial" w:cs="Arial"/>
          <w:sz w:val="24"/>
          <w:szCs w:val="24"/>
          <w:lang w:eastAsia="hr-HR"/>
        </w:rPr>
        <w:t>46,73</w:t>
      </w:r>
      <w:r w:rsidRPr="00A17B6F">
        <w:rPr>
          <w:rFonts w:ascii="Arial" w:eastAsia="Times New Roman" w:hAnsi="Arial" w:cs="Arial"/>
          <w:sz w:val="24"/>
          <w:szCs w:val="24"/>
          <w:lang w:eastAsia="hr-HR"/>
        </w:rPr>
        <w:t xml:space="preserve">% godišnjeg plana. U odnosu na isto razdoblje prethodne godine, prihodi od HZZO-a ostvareni </w:t>
      </w:r>
      <w:r w:rsidR="00F23CD8" w:rsidRPr="00A17B6F">
        <w:rPr>
          <w:rFonts w:ascii="Arial" w:eastAsia="Times New Roman" w:hAnsi="Arial" w:cs="Arial"/>
          <w:sz w:val="24"/>
          <w:szCs w:val="24"/>
          <w:lang w:eastAsia="hr-HR"/>
        </w:rPr>
        <w:t xml:space="preserve">su </w:t>
      </w:r>
      <w:r w:rsidRPr="00A17B6F">
        <w:rPr>
          <w:rFonts w:ascii="Arial" w:eastAsia="Times New Roman" w:hAnsi="Arial" w:cs="Arial"/>
          <w:sz w:val="24"/>
          <w:szCs w:val="24"/>
          <w:lang w:eastAsia="hr-HR"/>
        </w:rPr>
        <w:t>u prvoj polovici 202</w:t>
      </w:r>
      <w:r w:rsidR="00A50C2C"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w:t>
      </w:r>
      <w:r w:rsidR="00F23CD8" w:rsidRPr="00A17B6F">
        <w:rPr>
          <w:rFonts w:ascii="Arial" w:eastAsia="Times New Roman" w:hAnsi="Arial" w:cs="Arial"/>
          <w:sz w:val="24"/>
          <w:szCs w:val="24"/>
          <w:lang w:eastAsia="hr-HR"/>
        </w:rPr>
        <w:t xml:space="preserve">za </w:t>
      </w:r>
      <w:r w:rsidR="00A50C2C" w:rsidRPr="00A17B6F">
        <w:rPr>
          <w:rFonts w:ascii="Arial" w:eastAsia="Times New Roman" w:hAnsi="Arial" w:cs="Arial"/>
          <w:sz w:val="24"/>
          <w:szCs w:val="24"/>
          <w:lang w:eastAsia="hr-HR"/>
        </w:rPr>
        <w:t>5.696.082,26</w:t>
      </w:r>
      <w:r w:rsidR="00F23CD8"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A50C2C" w:rsidRPr="00A17B6F">
        <w:rPr>
          <w:rFonts w:ascii="Arial" w:eastAsia="Times New Roman" w:hAnsi="Arial" w:cs="Arial"/>
          <w:sz w:val="24"/>
          <w:szCs w:val="24"/>
          <w:lang w:eastAsia="hr-HR"/>
        </w:rPr>
        <w:t>22,61</w:t>
      </w:r>
      <w:r w:rsidRPr="00A17B6F">
        <w:rPr>
          <w:rFonts w:ascii="Arial" w:eastAsia="Times New Roman" w:hAnsi="Arial" w:cs="Arial"/>
          <w:sz w:val="24"/>
          <w:szCs w:val="24"/>
          <w:lang w:eastAsia="hr-HR"/>
        </w:rPr>
        <w:t xml:space="preserve">% </w:t>
      </w:r>
      <w:r w:rsidR="00A50C2C" w:rsidRPr="00A17B6F">
        <w:rPr>
          <w:rFonts w:ascii="Arial" w:eastAsia="Times New Roman" w:hAnsi="Arial" w:cs="Arial"/>
          <w:sz w:val="24"/>
          <w:szCs w:val="24"/>
          <w:lang w:eastAsia="hr-HR"/>
        </w:rPr>
        <w:t>više</w:t>
      </w:r>
      <w:r w:rsidRPr="00A17B6F">
        <w:rPr>
          <w:rFonts w:ascii="Arial" w:eastAsia="Times New Roman" w:hAnsi="Arial" w:cs="Arial"/>
          <w:sz w:val="24"/>
          <w:szCs w:val="24"/>
          <w:lang w:eastAsia="hr-HR"/>
        </w:rPr>
        <w:t>, pr</w:t>
      </w:r>
      <w:r w:rsidR="00F2682B" w:rsidRPr="00A17B6F">
        <w:rPr>
          <w:rFonts w:ascii="Arial" w:eastAsia="Times New Roman" w:hAnsi="Arial" w:cs="Arial"/>
          <w:sz w:val="24"/>
          <w:szCs w:val="24"/>
          <w:lang w:eastAsia="hr-HR"/>
        </w:rPr>
        <w:t>i</w:t>
      </w:r>
      <w:r w:rsidRPr="00A17B6F">
        <w:rPr>
          <w:rFonts w:ascii="Arial" w:eastAsia="Times New Roman" w:hAnsi="Arial" w:cs="Arial"/>
          <w:sz w:val="24"/>
          <w:szCs w:val="24"/>
          <w:lang w:eastAsia="hr-HR"/>
        </w:rPr>
        <w:t xml:space="preserve"> čemu</w:t>
      </w:r>
      <w:r w:rsidR="00F2682B" w:rsidRPr="00A17B6F">
        <w:rPr>
          <w:rFonts w:ascii="Arial" w:eastAsia="Times New Roman" w:hAnsi="Arial" w:cs="Arial"/>
          <w:sz w:val="24"/>
          <w:szCs w:val="24"/>
          <w:lang w:eastAsia="hr-HR"/>
        </w:rPr>
        <w:t xml:space="preserve"> su sve ustanove zdravstva ostvarile veće prihode</w:t>
      </w:r>
      <w:r w:rsidR="00A50C2C" w:rsidRPr="00A17B6F">
        <w:rPr>
          <w:rFonts w:ascii="Arial" w:eastAsia="Times New Roman" w:hAnsi="Arial" w:cs="Arial"/>
          <w:sz w:val="24"/>
          <w:szCs w:val="24"/>
          <w:lang w:eastAsia="hr-HR"/>
        </w:rPr>
        <w:t xml:space="preserve">, kako slijedi: </w:t>
      </w:r>
    </w:p>
    <w:p w14:paraId="3F5A3EC2" w14:textId="0E2D8A4C" w:rsidR="00332FB0" w:rsidRPr="00A17B6F" w:rsidRDefault="00332FB0" w:rsidP="00A50C2C">
      <w:pPr>
        <w:spacing w:after="0" w:line="240" w:lineRule="auto"/>
        <w:ind w:firstLine="357"/>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 xml:space="preserve">Zavod za hitnu medicinu je ostvario </w:t>
      </w:r>
      <w:r w:rsidR="00E46429" w:rsidRPr="00A17B6F">
        <w:rPr>
          <w:rFonts w:ascii="Arial" w:eastAsia="Times New Roman" w:hAnsi="Arial" w:cs="Arial"/>
          <w:sz w:val="24"/>
          <w:szCs w:val="24"/>
          <w:lang w:eastAsia="hr-HR"/>
        </w:rPr>
        <w:t>2.281.421,61</w:t>
      </w:r>
      <w:r w:rsidRPr="00A17B6F">
        <w:rPr>
          <w:rFonts w:ascii="Arial" w:eastAsia="Times New Roman" w:hAnsi="Arial" w:cs="Arial"/>
          <w:sz w:val="24"/>
          <w:szCs w:val="24"/>
          <w:lang w:eastAsia="hr-HR"/>
        </w:rPr>
        <w:t xml:space="preserve"> eur</w:t>
      </w:r>
      <w:r w:rsidR="00E46429" w:rsidRPr="00A17B6F">
        <w:rPr>
          <w:rFonts w:ascii="Arial" w:eastAsia="Times New Roman" w:hAnsi="Arial" w:cs="Arial"/>
          <w:sz w:val="24"/>
          <w:szCs w:val="24"/>
          <w:lang w:eastAsia="hr-HR"/>
        </w:rPr>
        <w:t xml:space="preserve">o ili 60,93% više prihoda od HZZO-a, Dom zdravlja 1.532.434,68 eura ili 15,21% više, INSULA 1.089.874,72 eura ili 29,79% više, </w:t>
      </w:r>
      <w:proofErr w:type="spellStart"/>
      <w:r w:rsidR="00E46429" w:rsidRPr="00A17B6F">
        <w:rPr>
          <w:rFonts w:ascii="Arial" w:eastAsia="Times New Roman" w:hAnsi="Arial" w:cs="Arial"/>
          <w:sz w:val="24"/>
          <w:szCs w:val="24"/>
          <w:lang w:eastAsia="hr-HR"/>
        </w:rPr>
        <w:t>Thalassotherapia</w:t>
      </w:r>
      <w:proofErr w:type="spellEnd"/>
      <w:r w:rsidR="00E46429" w:rsidRPr="00A17B6F">
        <w:rPr>
          <w:rFonts w:ascii="Arial" w:eastAsia="Times New Roman" w:hAnsi="Arial" w:cs="Arial"/>
          <w:sz w:val="24"/>
          <w:szCs w:val="24"/>
          <w:lang w:eastAsia="hr-HR"/>
        </w:rPr>
        <w:t xml:space="preserve"> Crikvenica 417.444,01 eura ili 27,45% više, </w:t>
      </w:r>
      <w:proofErr w:type="spellStart"/>
      <w:r w:rsidR="00E46429" w:rsidRPr="00A17B6F">
        <w:rPr>
          <w:rFonts w:ascii="Arial" w:eastAsia="Times New Roman" w:hAnsi="Arial" w:cs="Arial"/>
          <w:sz w:val="24"/>
          <w:szCs w:val="24"/>
          <w:lang w:eastAsia="hr-HR"/>
        </w:rPr>
        <w:t>Thalassotherapia</w:t>
      </w:r>
      <w:proofErr w:type="spellEnd"/>
      <w:r w:rsidR="00E46429" w:rsidRPr="00A17B6F">
        <w:rPr>
          <w:rFonts w:ascii="Arial" w:eastAsia="Times New Roman" w:hAnsi="Arial" w:cs="Arial"/>
          <w:sz w:val="24"/>
          <w:szCs w:val="24"/>
          <w:lang w:eastAsia="hr-HR"/>
        </w:rPr>
        <w:t xml:space="preserve"> Opatija 223.292,88 eura ili 6,17% više, Lječilište Veli Lošinj 107.015,08 eura ili 75,43% te Nastavni zavod za javno zdravstvo PGŽ 44.599,28 eura ili 1,83% više.</w:t>
      </w:r>
    </w:p>
    <w:p w14:paraId="53CE0A25" w14:textId="77777777" w:rsidR="00332FB0" w:rsidRPr="00A17B6F" w:rsidRDefault="00332FB0" w:rsidP="00A50C2C">
      <w:pPr>
        <w:spacing w:after="0" w:line="240" w:lineRule="auto"/>
        <w:ind w:firstLine="357"/>
        <w:jc w:val="both"/>
        <w:rPr>
          <w:rFonts w:ascii="Arial" w:eastAsia="Times New Roman" w:hAnsi="Arial" w:cs="Arial"/>
          <w:sz w:val="24"/>
          <w:szCs w:val="24"/>
          <w:lang w:eastAsia="hr-HR"/>
        </w:rPr>
      </w:pPr>
    </w:p>
    <w:p w14:paraId="1DDAF1C0" w14:textId="6F299CFA" w:rsidR="00966DDB" w:rsidRPr="00A17B6F" w:rsidRDefault="00966DDB" w:rsidP="00966DDB">
      <w:pPr>
        <w:spacing w:after="0" w:line="240" w:lineRule="auto"/>
        <w:ind w:firstLine="357"/>
        <w:jc w:val="both"/>
        <w:rPr>
          <w:rFonts w:ascii="Arial" w:eastAsia="Times New Roman" w:hAnsi="Arial" w:cs="Arial"/>
          <w:sz w:val="24"/>
          <w:szCs w:val="24"/>
          <w:lang w:eastAsia="hr-HR"/>
        </w:rPr>
      </w:pPr>
      <w:r w:rsidRPr="00A17B6F">
        <w:rPr>
          <w:rFonts w:ascii="Arial" w:eastAsia="Times New Roman" w:hAnsi="Arial" w:cs="Arial"/>
          <w:b/>
          <w:sz w:val="24"/>
          <w:szCs w:val="24"/>
          <w:lang w:eastAsia="hr-HR"/>
        </w:rPr>
        <w:t>Prihodi od kazni, upravnih mjera i ostali prihodi</w:t>
      </w:r>
      <w:r w:rsidRPr="00A17B6F">
        <w:rPr>
          <w:rFonts w:ascii="Arial" w:eastAsia="Times New Roman" w:hAnsi="Arial" w:cs="Arial"/>
          <w:sz w:val="24"/>
          <w:szCs w:val="24"/>
          <w:lang w:eastAsia="hr-HR"/>
        </w:rPr>
        <w:t xml:space="preserve"> ostvareni su prvoj polovici 202</w:t>
      </w:r>
      <w:r w:rsidR="00E46429"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godine u iznosu od </w:t>
      </w:r>
      <w:r w:rsidR="00E46429" w:rsidRPr="00A17B6F">
        <w:rPr>
          <w:rFonts w:ascii="Arial" w:eastAsia="Times New Roman" w:hAnsi="Arial" w:cs="Arial"/>
          <w:sz w:val="24"/>
          <w:szCs w:val="24"/>
          <w:lang w:eastAsia="hr-HR"/>
        </w:rPr>
        <w:t>57.022,95</w:t>
      </w:r>
      <w:r w:rsidR="00856456"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E46429" w:rsidRPr="00A17B6F">
        <w:rPr>
          <w:rFonts w:ascii="Arial" w:eastAsia="Times New Roman" w:hAnsi="Arial" w:cs="Arial"/>
          <w:sz w:val="24"/>
          <w:szCs w:val="24"/>
          <w:lang w:eastAsia="hr-HR"/>
        </w:rPr>
        <w:t>60,25</w:t>
      </w:r>
      <w:r w:rsidRPr="00A17B6F">
        <w:rPr>
          <w:rFonts w:ascii="Arial" w:eastAsia="Times New Roman" w:hAnsi="Arial" w:cs="Arial"/>
          <w:sz w:val="24"/>
          <w:szCs w:val="24"/>
          <w:lang w:eastAsia="hr-HR"/>
        </w:rPr>
        <w:t xml:space="preserve">% godišnjeg plana. Od ukupnog iznosa prihoda od kazni, upravnih mjera i ostalih prihoda, </w:t>
      </w:r>
      <w:r w:rsidR="00E46429" w:rsidRPr="00A17B6F">
        <w:rPr>
          <w:rFonts w:ascii="Arial" w:eastAsia="Times New Roman" w:hAnsi="Arial" w:cs="Arial"/>
          <w:sz w:val="24"/>
          <w:szCs w:val="24"/>
          <w:lang w:eastAsia="hr-HR"/>
        </w:rPr>
        <w:t>30.013,40</w:t>
      </w:r>
      <w:r w:rsidRPr="00A17B6F">
        <w:rPr>
          <w:rFonts w:ascii="Arial" w:eastAsia="Times New Roman" w:hAnsi="Arial" w:cs="Arial"/>
          <w:sz w:val="24"/>
          <w:szCs w:val="24"/>
          <w:lang w:eastAsia="hr-HR"/>
        </w:rPr>
        <w:t xml:space="preserve"> je prihod Županije, dok je </w:t>
      </w:r>
      <w:r w:rsidR="00E46429" w:rsidRPr="00A17B6F">
        <w:rPr>
          <w:rFonts w:ascii="Arial" w:eastAsia="Times New Roman" w:hAnsi="Arial" w:cs="Arial"/>
          <w:sz w:val="24"/>
          <w:szCs w:val="24"/>
          <w:lang w:eastAsia="hr-HR"/>
        </w:rPr>
        <w:t>27.009,55</w:t>
      </w:r>
      <w:r w:rsidR="00856456"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prihod proračunskih korisnika (zdravstvene ustanove </w:t>
      </w:r>
      <w:r w:rsidR="00E46429" w:rsidRPr="00A17B6F">
        <w:rPr>
          <w:rFonts w:ascii="Arial" w:eastAsia="Times New Roman" w:hAnsi="Arial" w:cs="Arial"/>
          <w:sz w:val="24"/>
          <w:szCs w:val="24"/>
          <w:lang w:eastAsia="hr-HR"/>
        </w:rPr>
        <w:t xml:space="preserve">14.421,30,00 eura, </w:t>
      </w:r>
      <w:r w:rsidRPr="00A17B6F">
        <w:rPr>
          <w:rFonts w:ascii="Arial" w:eastAsia="Times New Roman" w:hAnsi="Arial" w:cs="Arial"/>
          <w:sz w:val="24"/>
          <w:szCs w:val="24"/>
          <w:lang w:eastAsia="hr-HR"/>
        </w:rPr>
        <w:t>ustanove školstva</w:t>
      </w:r>
      <w:r w:rsidR="005C2BBE" w:rsidRPr="00A17B6F">
        <w:rPr>
          <w:rFonts w:ascii="Arial" w:eastAsia="Times New Roman" w:hAnsi="Arial" w:cs="Arial"/>
          <w:sz w:val="24"/>
          <w:szCs w:val="24"/>
          <w:lang w:eastAsia="hr-HR"/>
        </w:rPr>
        <w:t xml:space="preserve"> </w:t>
      </w:r>
      <w:r w:rsidR="00E46429" w:rsidRPr="00A17B6F">
        <w:rPr>
          <w:rFonts w:ascii="Arial" w:eastAsia="Times New Roman" w:hAnsi="Arial" w:cs="Arial"/>
          <w:sz w:val="24"/>
          <w:szCs w:val="24"/>
          <w:lang w:eastAsia="hr-HR"/>
        </w:rPr>
        <w:t>9.965,97 eura i ustanove socijalne skrbi 2.622,28 eura.</w:t>
      </w:r>
      <w:r w:rsidRPr="00A17B6F">
        <w:rPr>
          <w:rFonts w:ascii="Arial" w:eastAsia="Times New Roman" w:hAnsi="Arial" w:cs="Arial"/>
          <w:sz w:val="24"/>
          <w:szCs w:val="24"/>
          <w:lang w:eastAsia="hr-HR"/>
        </w:rPr>
        <w:t xml:space="preserve"> </w:t>
      </w:r>
    </w:p>
    <w:p w14:paraId="737927F1" w14:textId="77777777" w:rsidR="00966DDB" w:rsidRPr="00A17B6F" w:rsidRDefault="00966DDB" w:rsidP="00966DDB">
      <w:pPr>
        <w:spacing w:after="0" w:line="240" w:lineRule="auto"/>
        <w:ind w:firstLine="357"/>
        <w:jc w:val="both"/>
        <w:rPr>
          <w:rFonts w:ascii="Arial" w:eastAsia="Times New Roman" w:hAnsi="Arial" w:cs="Arial"/>
          <w:color w:val="FF0000"/>
          <w:sz w:val="16"/>
          <w:szCs w:val="16"/>
          <w:lang w:eastAsia="hr-HR"/>
        </w:rPr>
      </w:pPr>
    </w:p>
    <w:p w14:paraId="09FE368D" w14:textId="77777777" w:rsidR="00966DDB" w:rsidRPr="00A17B6F" w:rsidRDefault="00966DDB" w:rsidP="00966DDB">
      <w:pPr>
        <w:spacing w:after="0" w:line="240" w:lineRule="auto"/>
        <w:jc w:val="both"/>
        <w:rPr>
          <w:rFonts w:ascii="Arial" w:eastAsia="Times New Roman" w:hAnsi="Arial" w:cs="Times New Roman"/>
          <w:b/>
          <w:sz w:val="24"/>
          <w:szCs w:val="24"/>
          <w:u w:val="single"/>
          <w:lang w:eastAsia="hr-HR"/>
        </w:rPr>
      </w:pPr>
      <w:r w:rsidRPr="00A17B6F">
        <w:rPr>
          <w:rFonts w:ascii="Arial" w:eastAsia="Times New Roman" w:hAnsi="Arial" w:cs="Times New Roman"/>
          <w:b/>
          <w:sz w:val="24"/>
          <w:szCs w:val="24"/>
          <w:u w:val="single"/>
          <w:lang w:eastAsia="hr-HR"/>
        </w:rPr>
        <w:t>Prihodi od prodaje nefinancijske imovine</w:t>
      </w:r>
    </w:p>
    <w:p w14:paraId="787F6535" w14:textId="77777777" w:rsidR="00966DDB" w:rsidRPr="00A17B6F" w:rsidRDefault="00966DDB" w:rsidP="00966DDB">
      <w:pPr>
        <w:spacing w:after="0" w:line="240" w:lineRule="auto"/>
        <w:jc w:val="both"/>
        <w:rPr>
          <w:rFonts w:ascii="Arial" w:eastAsia="Times New Roman" w:hAnsi="Arial" w:cs="Times New Roman"/>
          <w:b/>
          <w:sz w:val="24"/>
          <w:szCs w:val="24"/>
          <w:u w:val="single"/>
          <w:lang w:eastAsia="hr-HR"/>
        </w:rPr>
      </w:pPr>
    </w:p>
    <w:p w14:paraId="1AD2EE57" w14:textId="4F449295" w:rsidR="005C2BBE" w:rsidRPr="00A17B6F" w:rsidRDefault="00966DDB" w:rsidP="00966DDB">
      <w:pPr>
        <w:spacing w:after="0" w:line="240" w:lineRule="auto"/>
        <w:ind w:firstLine="708"/>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Prihodi od prodaje nefinancijske imovine planiran je u 202</w:t>
      </w:r>
      <w:r w:rsidR="00E46429"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xml:space="preserve">. godini na razini od </w:t>
      </w:r>
      <w:r w:rsidR="00E46429" w:rsidRPr="00A17B6F">
        <w:rPr>
          <w:rFonts w:ascii="Arial" w:eastAsia="Times New Roman" w:hAnsi="Arial" w:cs="Arial"/>
          <w:sz w:val="24"/>
          <w:szCs w:val="24"/>
          <w:lang w:eastAsia="hr-HR"/>
        </w:rPr>
        <w:t>725.977,38</w:t>
      </w:r>
      <w:r w:rsidR="00856456"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a u prvom polugodištu ostvaren je u iznosu od </w:t>
      </w:r>
      <w:r w:rsidR="00E46429" w:rsidRPr="00A17B6F">
        <w:rPr>
          <w:rFonts w:ascii="Arial" w:eastAsia="Times New Roman" w:hAnsi="Arial" w:cs="Arial"/>
          <w:sz w:val="24"/>
          <w:szCs w:val="24"/>
          <w:lang w:eastAsia="hr-HR"/>
        </w:rPr>
        <w:t>314.462,28</w:t>
      </w:r>
      <w:r w:rsidR="00856456" w:rsidRPr="00A17B6F">
        <w:rPr>
          <w:rFonts w:ascii="Arial" w:eastAsia="Times New Roman" w:hAnsi="Arial" w:cs="Arial"/>
          <w:sz w:val="24"/>
          <w:szCs w:val="24"/>
          <w:lang w:eastAsia="hr-HR"/>
        </w:rPr>
        <w:t xml:space="preserve"> eura</w:t>
      </w:r>
      <w:r w:rsidRPr="00A17B6F">
        <w:rPr>
          <w:rFonts w:ascii="Arial" w:eastAsia="Times New Roman" w:hAnsi="Arial" w:cs="Arial"/>
          <w:sz w:val="24"/>
          <w:szCs w:val="24"/>
          <w:lang w:eastAsia="hr-HR"/>
        </w:rPr>
        <w:t xml:space="preserve"> ili </w:t>
      </w:r>
      <w:r w:rsidR="00E46429" w:rsidRPr="00A17B6F">
        <w:rPr>
          <w:rFonts w:ascii="Arial" w:eastAsia="Times New Roman" w:hAnsi="Arial" w:cs="Arial"/>
          <w:sz w:val="24"/>
          <w:szCs w:val="24"/>
          <w:lang w:eastAsia="hr-HR"/>
        </w:rPr>
        <w:t>43,32</w:t>
      </w:r>
      <w:r w:rsidRPr="00A17B6F">
        <w:rPr>
          <w:rFonts w:ascii="Arial" w:eastAsia="Times New Roman" w:hAnsi="Arial" w:cs="Arial"/>
          <w:sz w:val="24"/>
          <w:szCs w:val="24"/>
          <w:lang w:eastAsia="hr-HR"/>
        </w:rPr>
        <w:t xml:space="preserve">% plana. </w:t>
      </w:r>
      <w:r w:rsidR="00E46429" w:rsidRPr="00A17B6F">
        <w:rPr>
          <w:rFonts w:ascii="Arial" w:eastAsia="Times New Roman" w:hAnsi="Arial" w:cs="Arial"/>
          <w:sz w:val="24"/>
          <w:szCs w:val="24"/>
          <w:lang w:eastAsia="hr-HR"/>
        </w:rPr>
        <w:t>Cjelokupan iznos se</w:t>
      </w:r>
      <w:r w:rsidRPr="00A17B6F">
        <w:rPr>
          <w:rFonts w:ascii="Arial" w:eastAsia="Times New Roman" w:hAnsi="Arial" w:cs="Arial"/>
          <w:sz w:val="24"/>
          <w:szCs w:val="24"/>
          <w:lang w:eastAsia="hr-HR"/>
        </w:rPr>
        <w:t xml:space="preserve"> odnosi na prihod proračunskih korisnika. </w:t>
      </w:r>
      <w:r w:rsidR="005C2BBE" w:rsidRPr="00A17B6F">
        <w:rPr>
          <w:rFonts w:ascii="Arial" w:eastAsia="Times New Roman" w:hAnsi="Arial" w:cs="Arial"/>
          <w:sz w:val="24"/>
          <w:szCs w:val="24"/>
          <w:lang w:eastAsia="hr-HR"/>
        </w:rPr>
        <w:t xml:space="preserve">Najveći dio ostvarenog prihoda od prodaje nefinancijske imovine </w:t>
      </w:r>
      <w:r w:rsidR="00856456" w:rsidRPr="00A17B6F">
        <w:rPr>
          <w:rFonts w:ascii="Arial" w:eastAsia="Times New Roman" w:hAnsi="Arial" w:cs="Arial"/>
          <w:sz w:val="24"/>
          <w:szCs w:val="24"/>
          <w:lang w:eastAsia="hr-HR"/>
        </w:rPr>
        <w:t xml:space="preserve">proračunskih korisnika </w:t>
      </w:r>
      <w:r w:rsidR="005C2BBE" w:rsidRPr="00A17B6F">
        <w:rPr>
          <w:rFonts w:ascii="Arial" w:eastAsia="Times New Roman" w:hAnsi="Arial" w:cs="Arial"/>
          <w:sz w:val="24"/>
          <w:szCs w:val="24"/>
          <w:lang w:eastAsia="hr-HR"/>
        </w:rPr>
        <w:t xml:space="preserve">odnosi se na prihod </w:t>
      </w:r>
      <w:r w:rsidR="00B12A21" w:rsidRPr="00A17B6F">
        <w:rPr>
          <w:rFonts w:ascii="Arial" w:eastAsia="Times New Roman" w:hAnsi="Arial" w:cs="Arial"/>
          <w:sz w:val="24"/>
          <w:szCs w:val="24"/>
          <w:lang w:eastAsia="hr-HR"/>
        </w:rPr>
        <w:t xml:space="preserve">OŠ Ivana Gorana Kovačića Vrbovsko </w:t>
      </w:r>
      <w:r w:rsidR="000514E6" w:rsidRPr="00A17B6F">
        <w:rPr>
          <w:rFonts w:ascii="Arial" w:eastAsia="Times New Roman" w:hAnsi="Arial" w:cs="Arial"/>
          <w:sz w:val="24"/>
          <w:szCs w:val="24"/>
          <w:lang w:eastAsia="hr-HR"/>
        </w:rPr>
        <w:t>od prodaje nekretnin</w:t>
      </w:r>
      <w:r w:rsidR="00B12A21" w:rsidRPr="00A17B6F">
        <w:rPr>
          <w:rFonts w:ascii="Arial" w:eastAsia="Times New Roman" w:hAnsi="Arial" w:cs="Arial"/>
          <w:sz w:val="24"/>
          <w:szCs w:val="24"/>
          <w:lang w:eastAsia="hr-HR"/>
        </w:rPr>
        <w:t>a</w:t>
      </w:r>
      <w:r w:rsidR="000514E6" w:rsidRPr="00A17B6F">
        <w:rPr>
          <w:rFonts w:ascii="Arial" w:eastAsia="Times New Roman" w:hAnsi="Arial" w:cs="Arial"/>
          <w:sz w:val="24"/>
          <w:szCs w:val="24"/>
          <w:lang w:eastAsia="hr-HR"/>
        </w:rPr>
        <w:t xml:space="preserve"> u </w:t>
      </w:r>
      <w:proofErr w:type="spellStart"/>
      <w:r w:rsidR="000514E6" w:rsidRPr="00A17B6F">
        <w:rPr>
          <w:rFonts w:ascii="Arial" w:eastAsia="Times New Roman" w:hAnsi="Arial" w:cs="Arial"/>
          <w:sz w:val="24"/>
          <w:szCs w:val="24"/>
          <w:lang w:eastAsia="hr-HR"/>
        </w:rPr>
        <w:t>Dokmanovićima</w:t>
      </w:r>
      <w:proofErr w:type="spellEnd"/>
      <w:r w:rsidR="000514E6" w:rsidRPr="00A17B6F">
        <w:rPr>
          <w:rFonts w:ascii="Arial" w:eastAsia="Times New Roman" w:hAnsi="Arial" w:cs="Arial"/>
          <w:sz w:val="24"/>
          <w:szCs w:val="24"/>
          <w:lang w:eastAsia="hr-HR"/>
        </w:rPr>
        <w:t xml:space="preserve"> </w:t>
      </w:r>
      <w:r w:rsidR="00B12A21" w:rsidRPr="00A17B6F">
        <w:rPr>
          <w:rFonts w:ascii="Arial" w:eastAsia="Times New Roman" w:hAnsi="Arial" w:cs="Arial"/>
          <w:sz w:val="24"/>
          <w:szCs w:val="24"/>
          <w:lang w:eastAsia="hr-HR"/>
        </w:rPr>
        <w:t xml:space="preserve">(170.001,00 eura) i u </w:t>
      </w:r>
      <w:proofErr w:type="spellStart"/>
      <w:r w:rsidR="00B12A21" w:rsidRPr="00A17B6F">
        <w:rPr>
          <w:rFonts w:ascii="Arial" w:eastAsia="Times New Roman" w:hAnsi="Arial" w:cs="Arial"/>
          <w:sz w:val="24"/>
          <w:szCs w:val="24"/>
          <w:lang w:eastAsia="hr-HR"/>
        </w:rPr>
        <w:t>Ljubošini</w:t>
      </w:r>
      <w:proofErr w:type="spellEnd"/>
      <w:r w:rsidR="00B12A21" w:rsidRPr="00A17B6F">
        <w:rPr>
          <w:rFonts w:ascii="Arial" w:eastAsia="Times New Roman" w:hAnsi="Arial" w:cs="Arial"/>
          <w:sz w:val="24"/>
          <w:szCs w:val="24"/>
          <w:lang w:eastAsia="hr-HR"/>
        </w:rPr>
        <w:t xml:space="preserve"> (123.001,00 euro) </w:t>
      </w:r>
      <w:r w:rsidR="008C759D" w:rsidRPr="00A17B6F">
        <w:rPr>
          <w:rFonts w:ascii="Arial" w:eastAsia="Times New Roman" w:hAnsi="Arial" w:cs="Arial"/>
          <w:sz w:val="24"/>
          <w:szCs w:val="24"/>
          <w:lang w:eastAsia="hr-HR"/>
        </w:rPr>
        <w:t>temeljem</w:t>
      </w:r>
      <w:r w:rsidR="000514E6" w:rsidRPr="00A17B6F">
        <w:rPr>
          <w:rFonts w:ascii="Arial" w:eastAsia="Times New Roman" w:hAnsi="Arial" w:cs="Arial"/>
          <w:sz w:val="24"/>
          <w:szCs w:val="24"/>
          <w:lang w:eastAsia="hr-HR"/>
        </w:rPr>
        <w:t xml:space="preserve"> prethodn</w:t>
      </w:r>
      <w:r w:rsidR="001E3FE8">
        <w:rPr>
          <w:rFonts w:ascii="Arial" w:eastAsia="Times New Roman" w:hAnsi="Arial" w:cs="Arial"/>
          <w:sz w:val="24"/>
          <w:szCs w:val="24"/>
          <w:lang w:eastAsia="hr-HR"/>
        </w:rPr>
        <w:t>ih</w:t>
      </w:r>
      <w:r w:rsidR="000514E6" w:rsidRPr="00A17B6F">
        <w:rPr>
          <w:rFonts w:ascii="Arial" w:eastAsia="Times New Roman" w:hAnsi="Arial" w:cs="Arial"/>
          <w:sz w:val="24"/>
          <w:szCs w:val="24"/>
          <w:lang w:eastAsia="hr-HR"/>
        </w:rPr>
        <w:t xml:space="preserve"> suglasnost</w:t>
      </w:r>
      <w:r w:rsidR="00B12A21" w:rsidRPr="00A17B6F">
        <w:rPr>
          <w:rFonts w:ascii="Arial" w:eastAsia="Times New Roman" w:hAnsi="Arial" w:cs="Arial"/>
          <w:sz w:val="24"/>
          <w:szCs w:val="24"/>
          <w:lang w:eastAsia="hr-HR"/>
        </w:rPr>
        <w:t>i</w:t>
      </w:r>
      <w:r w:rsidR="000514E6" w:rsidRPr="00A17B6F">
        <w:rPr>
          <w:rFonts w:ascii="Arial" w:eastAsia="Times New Roman" w:hAnsi="Arial" w:cs="Arial"/>
          <w:sz w:val="24"/>
          <w:szCs w:val="24"/>
          <w:lang w:eastAsia="hr-HR"/>
        </w:rPr>
        <w:t xml:space="preserve"> </w:t>
      </w:r>
      <w:r w:rsidR="00B12A21" w:rsidRPr="00A17B6F">
        <w:rPr>
          <w:rFonts w:ascii="Arial" w:eastAsia="Times New Roman" w:hAnsi="Arial" w:cs="Arial"/>
          <w:sz w:val="24"/>
          <w:szCs w:val="24"/>
          <w:lang w:eastAsia="hr-HR"/>
        </w:rPr>
        <w:t>Županijsk</w:t>
      </w:r>
      <w:r w:rsidR="001E3FE8">
        <w:rPr>
          <w:rFonts w:ascii="Arial" w:eastAsia="Times New Roman" w:hAnsi="Arial" w:cs="Arial"/>
          <w:sz w:val="24"/>
          <w:szCs w:val="24"/>
          <w:lang w:eastAsia="hr-HR"/>
        </w:rPr>
        <w:t>e</w:t>
      </w:r>
      <w:r w:rsidR="00B12A21" w:rsidRPr="00A17B6F">
        <w:rPr>
          <w:rFonts w:ascii="Arial" w:eastAsia="Times New Roman" w:hAnsi="Arial" w:cs="Arial"/>
          <w:sz w:val="24"/>
          <w:szCs w:val="24"/>
          <w:lang w:eastAsia="hr-HR"/>
        </w:rPr>
        <w:t xml:space="preserve"> skupštin</w:t>
      </w:r>
      <w:r w:rsidR="001E3FE8">
        <w:rPr>
          <w:rFonts w:ascii="Arial" w:eastAsia="Times New Roman" w:hAnsi="Arial" w:cs="Arial"/>
          <w:sz w:val="24"/>
          <w:szCs w:val="24"/>
          <w:lang w:eastAsia="hr-HR"/>
        </w:rPr>
        <w:t>e</w:t>
      </w:r>
      <w:r w:rsidR="00B12A21" w:rsidRPr="00A17B6F">
        <w:rPr>
          <w:rFonts w:ascii="Arial" w:eastAsia="Times New Roman" w:hAnsi="Arial" w:cs="Arial"/>
          <w:sz w:val="24"/>
          <w:szCs w:val="24"/>
          <w:lang w:eastAsia="hr-HR"/>
        </w:rPr>
        <w:t xml:space="preserve"> </w:t>
      </w:r>
      <w:r w:rsidR="001E3FE8">
        <w:rPr>
          <w:rFonts w:ascii="Arial" w:eastAsia="Times New Roman" w:hAnsi="Arial" w:cs="Arial"/>
          <w:sz w:val="24"/>
          <w:szCs w:val="24"/>
          <w:lang w:eastAsia="hr-HR"/>
        </w:rPr>
        <w:t>(</w:t>
      </w:r>
      <w:r w:rsidR="00B12A21" w:rsidRPr="00A17B6F">
        <w:rPr>
          <w:rFonts w:ascii="Arial" w:eastAsia="Times New Roman" w:hAnsi="Arial" w:cs="Arial"/>
          <w:sz w:val="24"/>
          <w:szCs w:val="24"/>
          <w:lang w:eastAsia="hr-HR"/>
        </w:rPr>
        <w:t>od 23.11.2023. godin</w:t>
      </w:r>
      <w:r w:rsidR="001E3FE8">
        <w:rPr>
          <w:rFonts w:ascii="Arial" w:eastAsia="Times New Roman" w:hAnsi="Arial" w:cs="Arial"/>
          <w:sz w:val="24"/>
          <w:szCs w:val="24"/>
          <w:lang w:eastAsia="hr-HR"/>
        </w:rPr>
        <w:t xml:space="preserve">e) i </w:t>
      </w:r>
      <w:proofErr w:type="spellStart"/>
      <w:r w:rsidR="008C759D" w:rsidRPr="00A17B6F">
        <w:rPr>
          <w:rFonts w:ascii="Arial" w:eastAsia="Times New Roman" w:hAnsi="Arial" w:cs="Arial"/>
          <w:sz w:val="24"/>
          <w:szCs w:val="24"/>
          <w:lang w:eastAsia="hr-HR"/>
        </w:rPr>
        <w:t>i</w:t>
      </w:r>
      <w:proofErr w:type="spellEnd"/>
      <w:r w:rsidR="008C759D" w:rsidRPr="00A17B6F">
        <w:rPr>
          <w:rFonts w:ascii="Arial" w:eastAsia="Times New Roman" w:hAnsi="Arial" w:cs="Arial"/>
          <w:sz w:val="24"/>
          <w:szCs w:val="24"/>
          <w:lang w:eastAsia="hr-HR"/>
        </w:rPr>
        <w:t xml:space="preserve"> Župana </w:t>
      </w:r>
      <w:r w:rsidR="001E3FE8">
        <w:rPr>
          <w:rFonts w:ascii="Arial" w:eastAsia="Times New Roman" w:hAnsi="Arial" w:cs="Arial"/>
          <w:sz w:val="24"/>
          <w:szCs w:val="24"/>
          <w:lang w:eastAsia="hr-HR"/>
        </w:rPr>
        <w:t>(</w:t>
      </w:r>
      <w:r w:rsidR="008C759D" w:rsidRPr="00A17B6F">
        <w:rPr>
          <w:rFonts w:ascii="Arial" w:eastAsia="Times New Roman" w:hAnsi="Arial" w:cs="Arial"/>
          <w:sz w:val="24"/>
          <w:szCs w:val="24"/>
          <w:lang w:eastAsia="hr-HR"/>
        </w:rPr>
        <w:t>od 30.10.2023. godine</w:t>
      </w:r>
      <w:r w:rsidR="001E3FE8">
        <w:rPr>
          <w:rFonts w:ascii="Arial" w:eastAsia="Times New Roman" w:hAnsi="Arial" w:cs="Arial"/>
          <w:sz w:val="24"/>
          <w:szCs w:val="24"/>
          <w:lang w:eastAsia="hr-HR"/>
        </w:rPr>
        <w:t>)</w:t>
      </w:r>
      <w:r w:rsidR="008C759D" w:rsidRPr="00A17B6F">
        <w:rPr>
          <w:rFonts w:ascii="Arial" w:eastAsia="Times New Roman" w:hAnsi="Arial" w:cs="Arial"/>
          <w:sz w:val="24"/>
          <w:szCs w:val="24"/>
          <w:lang w:eastAsia="hr-HR"/>
        </w:rPr>
        <w:t xml:space="preserve">. </w:t>
      </w:r>
    </w:p>
    <w:p w14:paraId="129E4E40" w14:textId="40A4A6FF" w:rsidR="00966DDB" w:rsidRDefault="00966DDB" w:rsidP="00966DDB">
      <w:pPr>
        <w:spacing w:after="0" w:line="240" w:lineRule="auto"/>
        <w:ind w:firstLine="357"/>
        <w:jc w:val="both"/>
        <w:rPr>
          <w:rFonts w:ascii="Arial" w:eastAsia="Times New Roman" w:hAnsi="Arial" w:cs="Arial"/>
          <w:sz w:val="24"/>
          <w:szCs w:val="24"/>
          <w:lang w:eastAsia="hr-HR"/>
        </w:rPr>
      </w:pPr>
    </w:p>
    <w:p w14:paraId="07A75D6E" w14:textId="3AB801CE" w:rsidR="00BC1CA7" w:rsidRDefault="00BC1CA7" w:rsidP="00966DDB">
      <w:pPr>
        <w:spacing w:after="0" w:line="240" w:lineRule="auto"/>
        <w:ind w:firstLine="357"/>
        <w:jc w:val="both"/>
        <w:rPr>
          <w:rFonts w:ascii="Arial" w:eastAsia="Times New Roman" w:hAnsi="Arial" w:cs="Arial"/>
          <w:sz w:val="24"/>
          <w:szCs w:val="24"/>
          <w:lang w:eastAsia="hr-HR"/>
        </w:rPr>
      </w:pPr>
    </w:p>
    <w:p w14:paraId="402A0232" w14:textId="26A30125" w:rsidR="00BC1CA7" w:rsidRDefault="00BC1CA7" w:rsidP="00966DDB">
      <w:pPr>
        <w:spacing w:after="0" w:line="240" w:lineRule="auto"/>
        <w:ind w:firstLine="357"/>
        <w:jc w:val="both"/>
        <w:rPr>
          <w:rFonts w:ascii="Arial" w:eastAsia="Times New Roman" w:hAnsi="Arial" w:cs="Arial"/>
          <w:sz w:val="24"/>
          <w:szCs w:val="24"/>
          <w:lang w:eastAsia="hr-HR"/>
        </w:rPr>
      </w:pPr>
    </w:p>
    <w:p w14:paraId="566FBF22" w14:textId="77777777" w:rsidR="00BC1CA7" w:rsidRPr="00A17B6F" w:rsidRDefault="00BC1CA7" w:rsidP="00966DDB">
      <w:pPr>
        <w:spacing w:after="0" w:line="240" w:lineRule="auto"/>
        <w:ind w:firstLine="357"/>
        <w:jc w:val="both"/>
        <w:rPr>
          <w:rFonts w:ascii="Arial" w:eastAsia="Times New Roman" w:hAnsi="Arial" w:cs="Arial"/>
          <w:sz w:val="24"/>
          <w:szCs w:val="24"/>
          <w:lang w:eastAsia="hr-HR"/>
        </w:rPr>
      </w:pPr>
    </w:p>
    <w:p w14:paraId="5E2CAC57" w14:textId="77777777" w:rsidR="00966DDB" w:rsidRPr="00A17B6F" w:rsidRDefault="00966DDB" w:rsidP="00966DDB">
      <w:pPr>
        <w:spacing w:after="0" w:line="240" w:lineRule="auto"/>
        <w:jc w:val="both"/>
        <w:rPr>
          <w:rFonts w:ascii="Arial" w:eastAsia="Times New Roman" w:hAnsi="Arial" w:cs="Times New Roman"/>
          <w:b/>
          <w:sz w:val="24"/>
          <w:szCs w:val="24"/>
          <w:u w:val="single"/>
          <w:lang w:eastAsia="hr-HR"/>
        </w:rPr>
      </w:pPr>
      <w:r w:rsidRPr="00A17B6F">
        <w:rPr>
          <w:rFonts w:ascii="Arial" w:eastAsia="Times New Roman" w:hAnsi="Arial" w:cs="Times New Roman"/>
          <w:b/>
          <w:sz w:val="24"/>
          <w:szCs w:val="24"/>
          <w:u w:val="single"/>
          <w:lang w:eastAsia="hr-HR"/>
        </w:rPr>
        <w:lastRenderedPageBreak/>
        <w:t>Primici od financijske imovine i zaduživanja</w:t>
      </w:r>
    </w:p>
    <w:p w14:paraId="72DC5D32" w14:textId="77777777" w:rsidR="00966DDB" w:rsidRPr="00A17B6F" w:rsidRDefault="00966DDB" w:rsidP="00966DDB">
      <w:pPr>
        <w:spacing w:after="0" w:line="240" w:lineRule="auto"/>
        <w:jc w:val="both"/>
        <w:rPr>
          <w:rFonts w:ascii="Arial" w:eastAsia="Times New Roman" w:hAnsi="Arial" w:cs="Times New Roman"/>
          <w:b/>
          <w:sz w:val="24"/>
          <w:szCs w:val="24"/>
          <w:u w:val="single"/>
          <w:lang w:eastAsia="hr-HR"/>
        </w:rPr>
      </w:pPr>
    </w:p>
    <w:p w14:paraId="6FE0611F" w14:textId="7760A93D" w:rsidR="000514E6" w:rsidRPr="00A17B6F" w:rsidRDefault="00966DDB" w:rsidP="00966DDB">
      <w:pPr>
        <w:spacing w:after="0" w:line="240" w:lineRule="auto"/>
        <w:ind w:firstLine="357"/>
        <w:jc w:val="both"/>
        <w:rPr>
          <w:rFonts w:ascii="Arial" w:eastAsia="Times New Roman" w:hAnsi="Arial" w:cs="Arial"/>
          <w:bCs/>
          <w:sz w:val="24"/>
          <w:szCs w:val="24"/>
          <w:lang w:eastAsia="hr-HR"/>
        </w:rPr>
      </w:pPr>
      <w:r w:rsidRPr="00A17B6F">
        <w:rPr>
          <w:rFonts w:ascii="Arial" w:eastAsia="Times New Roman" w:hAnsi="Arial" w:cs="Arial"/>
          <w:b/>
          <w:bCs/>
          <w:sz w:val="24"/>
          <w:szCs w:val="24"/>
          <w:lang w:eastAsia="hr-HR"/>
        </w:rPr>
        <w:t xml:space="preserve">Primici od financijske imovine i zaduživanja </w:t>
      </w:r>
      <w:r w:rsidRPr="00A17B6F">
        <w:rPr>
          <w:rFonts w:ascii="Arial" w:eastAsia="Times New Roman" w:hAnsi="Arial" w:cs="Arial"/>
          <w:bCs/>
          <w:sz w:val="24"/>
          <w:szCs w:val="24"/>
          <w:lang w:eastAsia="hr-HR"/>
        </w:rPr>
        <w:t>planirani su u 202</w:t>
      </w:r>
      <w:r w:rsidR="000514E6" w:rsidRPr="00A17B6F">
        <w:rPr>
          <w:rFonts w:ascii="Arial" w:eastAsia="Times New Roman" w:hAnsi="Arial" w:cs="Arial"/>
          <w:bCs/>
          <w:sz w:val="24"/>
          <w:szCs w:val="24"/>
          <w:lang w:eastAsia="hr-HR"/>
        </w:rPr>
        <w:t>4</w:t>
      </w:r>
      <w:r w:rsidRPr="00A17B6F">
        <w:rPr>
          <w:rFonts w:ascii="Arial" w:eastAsia="Times New Roman" w:hAnsi="Arial" w:cs="Arial"/>
          <w:bCs/>
          <w:sz w:val="24"/>
          <w:szCs w:val="24"/>
          <w:lang w:eastAsia="hr-HR"/>
        </w:rPr>
        <w:t>. godin</w:t>
      </w:r>
      <w:r w:rsidR="002B08DB" w:rsidRPr="00A17B6F">
        <w:rPr>
          <w:rFonts w:ascii="Arial" w:eastAsia="Times New Roman" w:hAnsi="Arial" w:cs="Arial"/>
          <w:bCs/>
          <w:sz w:val="24"/>
          <w:szCs w:val="24"/>
          <w:lang w:eastAsia="hr-HR"/>
        </w:rPr>
        <w:t xml:space="preserve">i u iznosu od </w:t>
      </w:r>
      <w:r w:rsidR="000514E6" w:rsidRPr="00A17B6F">
        <w:rPr>
          <w:rFonts w:ascii="Arial" w:eastAsia="Times New Roman" w:hAnsi="Arial" w:cs="Arial"/>
          <w:bCs/>
          <w:sz w:val="24"/>
          <w:szCs w:val="24"/>
          <w:lang w:eastAsia="hr-HR"/>
        </w:rPr>
        <w:t>2.559.645,00</w:t>
      </w:r>
      <w:r w:rsidR="002B08DB" w:rsidRPr="00A17B6F">
        <w:rPr>
          <w:rFonts w:ascii="Arial" w:eastAsia="Times New Roman" w:hAnsi="Arial" w:cs="Arial"/>
          <w:bCs/>
          <w:sz w:val="24"/>
          <w:szCs w:val="24"/>
          <w:lang w:eastAsia="hr-HR"/>
        </w:rPr>
        <w:t xml:space="preserve"> eura</w:t>
      </w:r>
      <w:r w:rsidRPr="00A17B6F">
        <w:rPr>
          <w:rFonts w:ascii="Arial" w:eastAsia="Times New Roman" w:hAnsi="Arial" w:cs="Arial"/>
          <w:bCs/>
          <w:sz w:val="24"/>
          <w:szCs w:val="24"/>
          <w:lang w:eastAsia="hr-HR"/>
        </w:rPr>
        <w:t xml:space="preserve">, od čega je u prvih šest mjeseci godine realizirano </w:t>
      </w:r>
      <w:r w:rsidR="000514E6" w:rsidRPr="00A17B6F">
        <w:rPr>
          <w:rFonts w:ascii="Arial" w:eastAsia="Times New Roman" w:hAnsi="Arial" w:cs="Arial"/>
          <w:bCs/>
          <w:sz w:val="24"/>
          <w:szCs w:val="24"/>
          <w:lang w:eastAsia="hr-HR"/>
        </w:rPr>
        <w:t>2.310.90</w:t>
      </w:r>
      <w:r w:rsidR="002B08DB" w:rsidRPr="00A17B6F">
        <w:rPr>
          <w:rFonts w:ascii="Arial" w:eastAsia="Times New Roman" w:hAnsi="Arial" w:cs="Arial"/>
          <w:bCs/>
          <w:sz w:val="24"/>
          <w:szCs w:val="24"/>
          <w:lang w:eastAsia="hr-HR"/>
        </w:rPr>
        <w:t xml:space="preserve"> eura</w:t>
      </w:r>
      <w:r w:rsidRPr="00A17B6F">
        <w:rPr>
          <w:rFonts w:ascii="Arial" w:eastAsia="Times New Roman" w:hAnsi="Arial" w:cs="Arial"/>
          <w:bCs/>
          <w:sz w:val="24"/>
          <w:szCs w:val="24"/>
          <w:lang w:eastAsia="hr-HR"/>
        </w:rPr>
        <w:t xml:space="preserve"> </w:t>
      </w:r>
      <w:r w:rsidR="00EC0896" w:rsidRPr="00A17B6F">
        <w:rPr>
          <w:rFonts w:ascii="Arial" w:eastAsia="Times New Roman" w:hAnsi="Arial" w:cs="Arial"/>
          <w:bCs/>
          <w:sz w:val="24"/>
          <w:szCs w:val="24"/>
          <w:lang w:eastAsia="hr-HR"/>
        </w:rPr>
        <w:t>(</w:t>
      </w:r>
      <w:r w:rsidR="000514E6" w:rsidRPr="00A17B6F">
        <w:rPr>
          <w:rFonts w:ascii="Arial" w:eastAsia="Times New Roman" w:hAnsi="Arial" w:cs="Arial"/>
          <w:bCs/>
          <w:sz w:val="24"/>
          <w:szCs w:val="24"/>
          <w:lang w:eastAsia="hr-HR"/>
        </w:rPr>
        <w:t>0,09</w:t>
      </w:r>
      <w:r w:rsidRPr="00A17B6F">
        <w:rPr>
          <w:rFonts w:ascii="Arial" w:eastAsia="Times New Roman" w:hAnsi="Arial" w:cs="Arial"/>
          <w:bCs/>
          <w:sz w:val="24"/>
          <w:szCs w:val="24"/>
          <w:lang w:eastAsia="hr-HR"/>
        </w:rPr>
        <w:t>% godišnjeg plana</w:t>
      </w:r>
      <w:r w:rsidR="00EC0896" w:rsidRPr="00A17B6F">
        <w:rPr>
          <w:rFonts w:ascii="Arial" w:eastAsia="Times New Roman" w:hAnsi="Arial" w:cs="Arial"/>
          <w:bCs/>
          <w:sz w:val="24"/>
          <w:szCs w:val="24"/>
          <w:lang w:eastAsia="hr-HR"/>
        </w:rPr>
        <w:t xml:space="preserve">) koje se odnose na primitke Lječilišta Veli Lošinj od povrata dugoročnog zajma trgovačkom društvu Međimurje graditeljstvo d.o.o u sklopu </w:t>
      </w:r>
      <w:proofErr w:type="spellStart"/>
      <w:r w:rsidR="00EC0896" w:rsidRPr="00A17B6F">
        <w:rPr>
          <w:rFonts w:ascii="Arial" w:eastAsia="Times New Roman" w:hAnsi="Arial" w:cs="Arial"/>
          <w:bCs/>
          <w:sz w:val="24"/>
          <w:szCs w:val="24"/>
          <w:lang w:eastAsia="hr-HR"/>
        </w:rPr>
        <w:t>predstečajne</w:t>
      </w:r>
      <w:proofErr w:type="spellEnd"/>
      <w:r w:rsidR="00EC0896" w:rsidRPr="00A17B6F">
        <w:rPr>
          <w:rFonts w:ascii="Arial" w:eastAsia="Times New Roman" w:hAnsi="Arial" w:cs="Arial"/>
          <w:bCs/>
          <w:sz w:val="24"/>
          <w:szCs w:val="24"/>
          <w:lang w:eastAsia="hr-HR"/>
        </w:rPr>
        <w:t xml:space="preserve"> nagodbe. Ovdje treba napomenuti da su u 2024. godini planirana i zaduženja Županije (u iznosu od 500.000,00 eura) i </w:t>
      </w:r>
      <w:proofErr w:type="spellStart"/>
      <w:r w:rsidR="00EC0896" w:rsidRPr="00A17B6F">
        <w:rPr>
          <w:rFonts w:ascii="Arial" w:eastAsia="Times New Roman" w:hAnsi="Arial" w:cs="Arial"/>
          <w:bCs/>
          <w:sz w:val="24"/>
          <w:szCs w:val="24"/>
          <w:lang w:eastAsia="hr-HR"/>
        </w:rPr>
        <w:t>Thalassotherapie</w:t>
      </w:r>
      <w:proofErr w:type="spellEnd"/>
      <w:r w:rsidR="00EC0896" w:rsidRPr="00A17B6F">
        <w:rPr>
          <w:rFonts w:ascii="Arial" w:eastAsia="Times New Roman" w:hAnsi="Arial" w:cs="Arial"/>
          <w:bCs/>
          <w:sz w:val="24"/>
          <w:szCs w:val="24"/>
          <w:lang w:eastAsia="hr-HR"/>
        </w:rPr>
        <w:t xml:space="preserve"> Opatija (u iznosu 2.055.000,00 eura) koja </w:t>
      </w:r>
      <w:r w:rsidR="001E3FE8">
        <w:rPr>
          <w:rFonts w:ascii="Arial" w:eastAsia="Times New Roman" w:hAnsi="Arial" w:cs="Arial"/>
          <w:bCs/>
          <w:sz w:val="24"/>
          <w:szCs w:val="24"/>
          <w:lang w:eastAsia="hr-HR"/>
        </w:rPr>
        <w:t>nisu realizirana u prvoj</w:t>
      </w:r>
      <w:r w:rsidR="00EC0896" w:rsidRPr="00A17B6F">
        <w:rPr>
          <w:rFonts w:ascii="Arial" w:eastAsia="Times New Roman" w:hAnsi="Arial" w:cs="Arial"/>
          <w:bCs/>
          <w:sz w:val="24"/>
          <w:szCs w:val="24"/>
          <w:lang w:eastAsia="hr-HR"/>
        </w:rPr>
        <w:t xml:space="preserve"> polovici godine. </w:t>
      </w:r>
    </w:p>
    <w:p w14:paraId="260378DE" w14:textId="77777777" w:rsidR="004B242E" w:rsidRPr="00A17B6F" w:rsidRDefault="004B242E" w:rsidP="00966DDB">
      <w:pPr>
        <w:spacing w:after="0" w:line="240" w:lineRule="auto"/>
        <w:ind w:firstLine="357"/>
        <w:jc w:val="both"/>
        <w:rPr>
          <w:rFonts w:ascii="Arial" w:eastAsia="Times New Roman" w:hAnsi="Arial" w:cs="Arial"/>
          <w:bCs/>
          <w:sz w:val="24"/>
          <w:szCs w:val="24"/>
          <w:lang w:eastAsia="hr-HR"/>
        </w:rPr>
      </w:pPr>
    </w:p>
    <w:p w14:paraId="5F10C2BE" w14:textId="77777777" w:rsidR="00966DDB" w:rsidRPr="00A17B6F" w:rsidRDefault="00966DDB" w:rsidP="00966DDB">
      <w:pPr>
        <w:spacing w:after="0" w:line="240" w:lineRule="auto"/>
        <w:ind w:firstLine="357"/>
        <w:jc w:val="both"/>
        <w:rPr>
          <w:rFonts w:ascii="Arial" w:eastAsia="Times New Roman" w:hAnsi="Arial" w:cs="Arial"/>
          <w:bCs/>
          <w:sz w:val="24"/>
          <w:szCs w:val="24"/>
          <w:lang w:eastAsia="hr-HR"/>
        </w:rPr>
      </w:pPr>
    </w:p>
    <w:p w14:paraId="07F5E10D" w14:textId="4F5D0F0D" w:rsidR="00B31DBA" w:rsidRPr="00A17B6F" w:rsidRDefault="00B31DBA" w:rsidP="00B31DBA">
      <w:pPr>
        <w:numPr>
          <w:ilvl w:val="12"/>
          <w:numId w:val="0"/>
        </w:numPr>
        <w:spacing w:after="0" w:line="240" w:lineRule="auto"/>
        <w:ind w:left="1418" w:hanging="1418"/>
        <w:rPr>
          <w:rFonts w:ascii="Arial" w:eastAsia="Times New Roman" w:hAnsi="Arial" w:cs="Arial"/>
          <w:sz w:val="24"/>
          <w:szCs w:val="24"/>
          <w:lang w:eastAsia="hr-HR"/>
        </w:rPr>
      </w:pPr>
      <w:r w:rsidRPr="00A17B6F">
        <w:rPr>
          <w:rFonts w:ascii="Arial" w:eastAsia="Times New Roman" w:hAnsi="Arial" w:cs="Arial"/>
          <w:b/>
          <w:sz w:val="24"/>
          <w:szCs w:val="24"/>
          <w:lang w:eastAsia="hr-HR"/>
        </w:rPr>
        <w:t xml:space="preserve">Grafikon 2.: </w:t>
      </w:r>
      <w:r w:rsidRPr="00A17B6F">
        <w:rPr>
          <w:rFonts w:ascii="Arial" w:eastAsia="Times New Roman" w:hAnsi="Arial" w:cs="Arial"/>
          <w:sz w:val="24"/>
          <w:szCs w:val="24"/>
          <w:lang w:eastAsia="hr-HR"/>
        </w:rPr>
        <w:t>Struktura naplaćenih prihoda i primitaka Proračuna u prvom polugodištu 202</w:t>
      </w:r>
      <w:r w:rsidR="00D10805"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godine</w:t>
      </w:r>
    </w:p>
    <w:p w14:paraId="410F526A" w14:textId="4017507F" w:rsidR="0010084C" w:rsidRPr="00A17B6F" w:rsidRDefault="0010084C" w:rsidP="00087289">
      <w:pPr>
        <w:numPr>
          <w:ilvl w:val="12"/>
          <w:numId w:val="0"/>
        </w:numPr>
        <w:spacing w:after="0" w:line="240" w:lineRule="auto"/>
        <w:ind w:left="1418" w:hanging="1418"/>
        <w:rPr>
          <w:rFonts w:ascii="Arial" w:eastAsia="Times New Roman" w:hAnsi="Arial" w:cs="Arial"/>
          <w:sz w:val="24"/>
          <w:szCs w:val="24"/>
          <w:lang w:eastAsia="hr-HR"/>
        </w:rPr>
      </w:pPr>
    </w:p>
    <w:p w14:paraId="5977EBC1" w14:textId="60FF4268" w:rsidR="00D10805" w:rsidRPr="00A17B6F" w:rsidRDefault="00D10805" w:rsidP="00D10805">
      <w:pPr>
        <w:numPr>
          <w:ilvl w:val="12"/>
          <w:numId w:val="0"/>
        </w:numPr>
        <w:spacing w:after="0" w:line="240" w:lineRule="auto"/>
        <w:ind w:left="1418" w:hanging="1418"/>
        <w:jc w:val="center"/>
        <w:rPr>
          <w:rFonts w:ascii="Arial" w:eastAsia="Times New Roman" w:hAnsi="Arial" w:cs="Arial"/>
          <w:sz w:val="24"/>
          <w:szCs w:val="24"/>
          <w:lang w:eastAsia="hr-HR"/>
        </w:rPr>
      </w:pPr>
      <w:r w:rsidRPr="00A17B6F">
        <w:rPr>
          <w:rFonts w:ascii="Arial" w:eastAsia="Times New Roman" w:hAnsi="Arial" w:cs="Arial"/>
          <w:noProof/>
          <w:sz w:val="24"/>
          <w:szCs w:val="24"/>
          <w:lang w:eastAsia="hr-HR"/>
        </w:rPr>
        <w:drawing>
          <wp:inline distT="0" distB="0" distL="0" distR="0" wp14:anchorId="73B69E2B" wp14:editId="6315752A">
            <wp:extent cx="5635159" cy="3043451"/>
            <wp:effectExtent l="0" t="0" r="381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2184" cy="3063447"/>
                    </a:xfrm>
                    <a:prstGeom prst="rect">
                      <a:avLst/>
                    </a:prstGeom>
                    <a:noFill/>
                  </pic:spPr>
                </pic:pic>
              </a:graphicData>
            </a:graphic>
          </wp:inline>
        </w:drawing>
      </w:r>
    </w:p>
    <w:p w14:paraId="4D58C73D" w14:textId="77777777" w:rsidR="00D10805" w:rsidRPr="00A17B6F" w:rsidRDefault="00D10805" w:rsidP="00087289">
      <w:pPr>
        <w:numPr>
          <w:ilvl w:val="12"/>
          <w:numId w:val="0"/>
        </w:numPr>
        <w:spacing w:after="0" w:line="240" w:lineRule="auto"/>
        <w:ind w:left="1418" w:hanging="1418"/>
        <w:rPr>
          <w:rFonts w:ascii="Arial" w:eastAsia="Times New Roman" w:hAnsi="Arial" w:cs="Arial"/>
          <w:sz w:val="24"/>
          <w:szCs w:val="24"/>
          <w:lang w:eastAsia="hr-HR"/>
        </w:rPr>
      </w:pPr>
    </w:p>
    <w:p w14:paraId="0BE19A5D" w14:textId="493CC39E" w:rsidR="0080280B" w:rsidRPr="00A17B6F" w:rsidRDefault="0080280B" w:rsidP="0080280B">
      <w:pPr>
        <w:numPr>
          <w:ilvl w:val="12"/>
          <w:numId w:val="0"/>
        </w:numPr>
        <w:spacing w:after="0" w:line="240" w:lineRule="auto"/>
        <w:ind w:left="1418" w:hanging="1418"/>
        <w:jc w:val="center"/>
        <w:rPr>
          <w:rFonts w:ascii="Arial" w:eastAsia="Times New Roman" w:hAnsi="Arial" w:cs="Arial"/>
          <w:sz w:val="24"/>
          <w:szCs w:val="24"/>
          <w:lang w:eastAsia="hr-HR"/>
        </w:rPr>
      </w:pPr>
    </w:p>
    <w:p w14:paraId="31C411C3" w14:textId="77777777" w:rsidR="0080280B" w:rsidRPr="00A17B6F" w:rsidRDefault="0080280B" w:rsidP="00087289">
      <w:pPr>
        <w:numPr>
          <w:ilvl w:val="12"/>
          <w:numId w:val="0"/>
        </w:numPr>
        <w:spacing w:after="0" w:line="240" w:lineRule="auto"/>
        <w:ind w:left="1418" w:hanging="1418"/>
        <w:rPr>
          <w:rFonts w:ascii="Arial" w:eastAsia="Times New Roman" w:hAnsi="Arial" w:cs="Arial"/>
          <w:sz w:val="24"/>
          <w:szCs w:val="24"/>
          <w:lang w:eastAsia="hr-HR"/>
        </w:rPr>
      </w:pPr>
    </w:p>
    <w:p w14:paraId="46398C9A" w14:textId="1CE914F3" w:rsidR="00EA3D33" w:rsidRPr="00A17B6F" w:rsidRDefault="00EA3D33" w:rsidP="00EA3D33">
      <w:pPr>
        <w:numPr>
          <w:ilvl w:val="12"/>
          <w:numId w:val="0"/>
        </w:numPr>
        <w:spacing w:after="0" w:line="240" w:lineRule="auto"/>
        <w:ind w:left="1418" w:hanging="1418"/>
        <w:jc w:val="center"/>
        <w:rPr>
          <w:rFonts w:ascii="Arial" w:eastAsia="Times New Roman" w:hAnsi="Arial" w:cs="Arial"/>
          <w:sz w:val="24"/>
          <w:szCs w:val="24"/>
          <w:lang w:eastAsia="hr-HR"/>
        </w:rPr>
      </w:pPr>
    </w:p>
    <w:p w14:paraId="062484BF" w14:textId="174E4D9A" w:rsidR="00EA3D33" w:rsidRPr="00A17B6F" w:rsidRDefault="00EA3D33">
      <w:pPr>
        <w:rPr>
          <w:rFonts w:ascii="Arial" w:eastAsia="Times New Roman" w:hAnsi="Arial" w:cs="Arial"/>
          <w:sz w:val="12"/>
          <w:szCs w:val="12"/>
          <w:lang w:eastAsia="hr-HR"/>
        </w:rPr>
      </w:pPr>
      <w:r w:rsidRPr="00A17B6F">
        <w:rPr>
          <w:rFonts w:ascii="Arial" w:eastAsia="Times New Roman" w:hAnsi="Arial" w:cs="Arial"/>
          <w:sz w:val="12"/>
          <w:szCs w:val="12"/>
          <w:lang w:eastAsia="hr-HR"/>
        </w:rPr>
        <w:br w:type="page"/>
      </w:r>
    </w:p>
    <w:p w14:paraId="52F8F869" w14:textId="77777777" w:rsidR="00087289" w:rsidRPr="00A17B6F" w:rsidRDefault="00087289" w:rsidP="00087289">
      <w:pPr>
        <w:numPr>
          <w:ilvl w:val="12"/>
          <w:numId w:val="0"/>
        </w:numPr>
        <w:spacing w:after="0" w:line="240" w:lineRule="auto"/>
        <w:jc w:val="both"/>
        <w:rPr>
          <w:rFonts w:ascii="Arial" w:eastAsia="Times New Roman" w:hAnsi="Arial" w:cs="Times New Roman"/>
          <w:b/>
          <w:bCs/>
          <w:sz w:val="24"/>
          <w:szCs w:val="24"/>
          <w:lang w:eastAsia="hr-HR"/>
        </w:rPr>
      </w:pPr>
      <w:r w:rsidRPr="00A17B6F">
        <w:rPr>
          <w:rFonts w:ascii="Arial" w:eastAsia="Times New Roman" w:hAnsi="Arial" w:cs="Times New Roman"/>
          <w:b/>
          <w:bCs/>
          <w:sz w:val="24"/>
          <w:szCs w:val="24"/>
          <w:lang w:eastAsia="hr-HR"/>
        </w:rPr>
        <w:lastRenderedPageBreak/>
        <w:t>RASHODI / IZDACI</w:t>
      </w:r>
    </w:p>
    <w:p w14:paraId="345EA405" w14:textId="77777777" w:rsidR="00087289" w:rsidRPr="00A17B6F" w:rsidRDefault="00087289" w:rsidP="00087289">
      <w:pPr>
        <w:numPr>
          <w:ilvl w:val="12"/>
          <w:numId w:val="0"/>
        </w:numPr>
        <w:spacing w:after="0" w:line="240" w:lineRule="auto"/>
        <w:jc w:val="both"/>
        <w:rPr>
          <w:rFonts w:ascii="Arial" w:eastAsia="Times New Roman" w:hAnsi="Arial" w:cs="Times New Roman"/>
          <w:b/>
          <w:bCs/>
          <w:sz w:val="16"/>
          <w:szCs w:val="16"/>
          <w:lang w:eastAsia="hr-HR"/>
        </w:rPr>
      </w:pPr>
    </w:p>
    <w:p w14:paraId="568AF899" w14:textId="59480340" w:rsidR="002E5D8E" w:rsidRPr="00A17B6F" w:rsidRDefault="00087289" w:rsidP="002E5D8E">
      <w:pPr>
        <w:pStyle w:val="BodyTextIndent3"/>
        <w:numPr>
          <w:ilvl w:val="12"/>
          <w:numId w:val="0"/>
        </w:numPr>
        <w:rPr>
          <w:bCs/>
        </w:rPr>
      </w:pPr>
      <w:r w:rsidRPr="00A17B6F">
        <w:rPr>
          <w:bCs/>
        </w:rPr>
        <w:tab/>
      </w:r>
      <w:r w:rsidR="002E5D8E" w:rsidRPr="00A17B6F">
        <w:rPr>
          <w:bCs/>
        </w:rPr>
        <w:t>Ukupni rashodi i izdaci na razini konsolidiranog Proračuna u prvom polugodištu 202</w:t>
      </w:r>
      <w:r w:rsidR="00EC0896" w:rsidRPr="00A17B6F">
        <w:rPr>
          <w:bCs/>
        </w:rPr>
        <w:t>4</w:t>
      </w:r>
      <w:r w:rsidR="002E5D8E" w:rsidRPr="00A17B6F">
        <w:rPr>
          <w:bCs/>
        </w:rPr>
        <w:t xml:space="preserve">. godine izvršeni su u iznosu od </w:t>
      </w:r>
      <w:r w:rsidR="00EC0896" w:rsidRPr="00A17B6F">
        <w:rPr>
          <w:rFonts w:cs="Arial"/>
          <w:bCs/>
        </w:rPr>
        <w:t>123.393.295,52</w:t>
      </w:r>
      <w:r w:rsidR="005D67D6" w:rsidRPr="00A17B6F">
        <w:rPr>
          <w:rFonts w:cs="Arial"/>
          <w:bCs/>
        </w:rPr>
        <w:t xml:space="preserve"> eura</w:t>
      </w:r>
      <w:r w:rsidR="002E5D8E" w:rsidRPr="00A17B6F">
        <w:rPr>
          <w:bCs/>
        </w:rPr>
        <w:t xml:space="preserve">, odnosno </w:t>
      </w:r>
      <w:r w:rsidR="00EC0896" w:rsidRPr="00A17B6F">
        <w:rPr>
          <w:bCs/>
        </w:rPr>
        <w:t>41,83</w:t>
      </w:r>
      <w:r w:rsidR="002E5D8E" w:rsidRPr="00A17B6F">
        <w:rPr>
          <w:bCs/>
        </w:rPr>
        <w:t xml:space="preserve"> % u odnosu na godišnji plan. </w:t>
      </w:r>
    </w:p>
    <w:p w14:paraId="2DC71F6C" w14:textId="06CF3759" w:rsidR="00087289" w:rsidRPr="00A17B6F" w:rsidRDefault="00087289" w:rsidP="00087289">
      <w:pPr>
        <w:numPr>
          <w:ilvl w:val="12"/>
          <w:numId w:val="0"/>
        </w:numPr>
        <w:spacing w:after="0" w:line="240" w:lineRule="auto"/>
        <w:jc w:val="both"/>
        <w:rPr>
          <w:rFonts w:ascii="Arial" w:eastAsia="Times New Roman" w:hAnsi="Arial" w:cs="Times New Roman"/>
          <w:bCs/>
          <w:sz w:val="24"/>
          <w:szCs w:val="24"/>
          <w:lang w:eastAsia="hr-HR"/>
        </w:rPr>
      </w:pPr>
    </w:p>
    <w:p w14:paraId="5401D68E" w14:textId="24EFE62B" w:rsidR="00087289" w:rsidRPr="00A17B6F" w:rsidRDefault="00087289" w:rsidP="00087289">
      <w:pPr>
        <w:numPr>
          <w:ilvl w:val="12"/>
          <w:numId w:val="0"/>
        </w:numPr>
        <w:spacing w:after="0" w:line="240" w:lineRule="auto"/>
        <w:ind w:left="1276" w:hanging="1276"/>
        <w:jc w:val="both"/>
        <w:rPr>
          <w:rFonts w:ascii="Arial" w:eastAsia="Times New Roman" w:hAnsi="Arial" w:cs="Arial"/>
          <w:sz w:val="24"/>
          <w:szCs w:val="24"/>
          <w:lang w:eastAsia="hr-HR"/>
        </w:rPr>
      </w:pPr>
      <w:r w:rsidRPr="00A17B6F">
        <w:rPr>
          <w:rFonts w:ascii="Arial" w:eastAsia="Times New Roman" w:hAnsi="Arial" w:cs="Arial"/>
          <w:b/>
          <w:sz w:val="24"/>
          <w:szCs w:val="24"/>
          <w:lang w:eastAsia="hr-HR"/>
        </w:rPr>
        <w:t xml:space="preserve">Tablica </w:t>
      </w:r>
      <w:r w:rsidR="00987502" w:rsidRPr="00A17B6F">
        <w:rPr>
          <w:rFonts w:ascii="Arial" w:eastAsia="Times New Roman" w:hAnsi="Arial" w:cs="Arial"/>
          <w:b/>
          <w:sz w:val="24"/>
          <w:szCs w:val="24"/>
          <w:lang w:eastAsia="hr-HR"/>
        </w:rPr>
        <w:t>4</w:t>
      </w:r>
      <w:r w:rsidRPr="00A17B6F">
        <w:rPr>
          <w:rFonts w:ascii="Arial" w:eastAsia="Times New Roman" w:hAnsi="Arial" w:cs="Arial"/>
          <w:b/>
          <w:sz w:val="24"/>
          <w:szCs w:val="24"/>
          <w:lang w:eastAsia="hr-HR"/>
        </w:rPr>
        <w:t>.</w:t>
      </w:r>
      <w:r w:rsidR="00F31B48" w:rsidRPr="00A17B6F">
        <w:rPr>
          <w:rFonts w:ascii="Arial" w:eastAsia="Times New Roman" w:hAnsi="Arial" w:cs="Arial"/>
          <w:sz w:val="24"/>
          <w:szCs w:val="24"/>
          <w:lang w:eastAsia="hr-HR"/>
        </w:rPr>
        <w:t>:</w:t>
      </w:r>
      <w:r w:rsidRPr="00A17B6F">
        <w:rPr>
          <w:rFonts w:ascii="Arial" w:eastAsia="Times New Roman" w:hAnsi="Arial" w:cs="Arial"/>
          <w:sz w:val="24"/>
          <w:szCs w:val="24"/>
          <w:lang w:eastAsia="hr-HR"/>
        </w:rPr>
        <w:t xml:space="preserve">Izvršenje rashoda / izdataka </w:t>
      </w:r>
      <w:r w:rsidR="009B4DFA" w:rsidRPr="00A17B6F">
        <w:rPr>
          <w:rFonts w:ascii="Arial" w:eastAsia="Times New Roman" w:hAnsi="Arial" w:cs="Arial"/>
          <w:sz w:val="24"/>
          <w:szCs w:val="24"/>
          <w:lang w:eastAsia="hr-HR"/>
        </w:rPr>
        <w:t xml:space="preserve">konsolidiranog proračuna PGŽ </w:t>
      </w:r>
      <w:r w:rsidRPr="00A17B6F">
        <w:rPr>
          <w:rFonts w:ascii="Arial" w:eastAsia="Times New Roman" w:hAnsi="Arial" w:cs="Arial"/>
          <w:sz w:val="24"/>
          <w:szCs w:val="24"/>
          <w:lang w:eastAsia="hr-HR"/>
        </w:rPr>
        <w:t xml:space="preserve">u </w:t>
      </w:r>
      <w:r w:rsidR="00B31DBA" w:rsidRPr="00A17B6F">
        <w:rPr>
          <w:rFonts w:ascii="Arial" w:eastAsia="Times New Roman" w:hAnsi="Arial" w:cs="Arial"/>
          <w:sz w:val="24"/>
          <w:szCs w:val="24"/>
          <w:lang w:eastAsia="hr-HR"/>
        </w:rPr>
        <w:t>prvom polugodištu 202</w:t>
      </w:r>
      <w:r w:rsidR="00D10805" w:rsidRPr="00A17B6F">
        <w:rPr>
          <w:rFonts w:ascii="Arial" w:eastAsia="Times New Roman" w:hAnsi="Arial" w:cs="Arial"/>
          <w:sz w:val="24"/>
          <w:szCs w:val="24"/>
          <w:lang w:eastAsia="hr-HR"/>
        </w:rPr>
        <w:t>4</w:t>
      </w:r>
      <w:r w:rsidR="00B31DBA" w:rsidRPr="00A17B6F">
        <w:rPr>
          <w:rFonts w:ascii="Arial" w:eastAsia="Times New Roman" w:hAnsi="Arial" w:cs="Arial"/>
          <w:sz w:val="24"/>
          <w:szCs w:val="24"/>
          <w:lang w:eastAsia="hr-HR"/>
        </w:rPr>
        <w:t>. godine po osnovnim skupinama</w:t>
      </w:r>
      <w:r w:rsidR="0080280B" w:rsidRPr="00A17B6F">
        <w:rPr>
          <w:rFonts w:ascii="Arial" w:eastAsia="Times New Roman" w:hAnsi="Arial" w:cs="Arial"/>
          <w:sz w:val="24"/>
          <w:szCs w:val="24"/>
          <w:lang w:eastAsia="hr-HR"/>
        </w:rPr>
        <w:t xml:space="preserve"> ekonomske klasifikacije</w:t>
      </w:r>
    </w:p>
    <w:p w14:paraId="7CDD007B" w14:textId="76D2C94C" w:rsidR="00B31DBA" w:rsidRPr="00A17B6F" w:rsidRDefault="00DA6E63" w:rsidP="00DA6E63">
      <w:pPr>
        <w:pStyle w:val="ListParagraph"/>
        <w:numPr>
          <w:ilvl w:val="0"/>
          <w:numId w:val="16"/>
        </w:numPr>
        <w:jc w:val="both"/>
        <w:rPr>
          <w:rFonts w:ascii="Arial" w:hAnsi="Arial" w:cs="Arial"/>
          <w:sz w:val="16"/>
          <w:szCs w:val="16"/>
        </w:rPr>
      </w:pPr>
      <w:r w:rsidRPr="00A17B6F">
        <w:rPr>
          <w:rFonts w:ascii="Arial" w:hAnsi="Arial" w:cs="Arial"/>
          <w:sz w:val="16"/>
          <w:szCs w:val="16"/>
        </w:rPr>
        <w:t>u eurima</w:t>
      </w:r>
    </w:p>
    <w:p w14:paraId="0F815496" w14:textId="4C2E71FA" w:rsidR="00DA6E63" w:rsidRPr="00A17B6F" w:rsidRDefault="00DA6E63" w:rsidP="00DA6E63">
      <w:pPr>
        <w:pStyle w:val="ListParagraph"/>
        <w:ind w:left="8565"/>
        <w:jc w:val="both"/>
        <w:rPr>
          <w:rFonts w:ascii="Arial" w:hAnsi="Arial" w:cs="Arial"/>
          <w:sz w:val="16"/>
          <w:szCs w:val="16"/>
        </w:rPr>
      </w:pPr>
    </w:p>
    <w:tbl>
      <w:tblPr>
        <w:tblW w:w="11364" w:type="dxa"/>
        <w:tblInd w:w="-709" w:type="dxa"/>
        <w:tblLook w:val="04A0" w:firstRow="1" w:lastRow="0" w:firstColumn="1" w:lastColumn="0" w:noHBand="0" w:noVBand="1"/>
      </w:tblPr>
      <w:tblGrid>
        <w:gridCol w:w="947"/>
        <w:gridCol w:w="2455"/>
        <w:gridCol w:w="1256"/>
        <w:gridCol w:w="1235"/>
        <w:gridCol w:w="1235"/>
        <w:gridCol w:w="807"/>
        <w:gridCol w:w="996"/>
        <w:gridCol w:w="1154"/>
        <w:gridCol w:w="1279"/>
      </w:tblGrid>
      <w:tr w:rsidR="00D10805" w:rsidRPr="00A17B6F" w14:paraId="64878D12" w14:textId="77777777" w:rsidTr="00BC1CA7">
        <w:trPr>
          <w:trHeight w:val="315"/>
        </w:trPr>
        <w:tc>
          <w:tcPr>
            <w:tcW w:w="947" w:type="dxa"/>
            <w:vMerge w:val="restart"/>
            <w:tcBorders>
              <w:top w:val="single" w:sz="8" w:space="0" w:color="auto"/>
              <w:left w:val="nil"/>
              <w:bottom w:val="single" w:sz="8" w:space="0" w:color="000000"/>
              <w:right w:val="nil"/>
            </w:tcBorders>
            <w:shd w:val="clear" w:color="auto" w:fill="auto"/>
            <w:vAlign w:val="center"/>
            <w:hideMark/>
          </w:tcPr>
          <w:p w14:paraId="065FDA80"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proofErr w:type="spellStart"/>
            <w:r w:rsidRPr="00A17B6F">
              <w:rPr>
                <w:rFonts w:ascii="Calibri" w:eastAsia="Times New Roman" w:hAnsi="Calibri" w:cs="Calibri"/>
                <w:b/>
                <w:bCs/>
                <w:color w:val="000000"/>
                <w:sz w:val="16"/>
                <w:szCs w:val="16"/>
                <w:lang w:eastAsia="hr-HR"/>
              </w:rPr>
              <w:t>Rčn</w:t>
            </w:r>
            <w:proofErr w:type="spellEnd"/>
          </w:p>
        </w:tc>
        <w:tc>
          <w:tcPr>
            <w:tcW w:w="2455" w:type="dxa"/>
            <w:vMerge w:val="restart"/>
            <w:tcBorders>
              <w:top w:val="single" w:sz="8" w:space="0" w:color="auto"/>
              <w:left w:val="nil"/>
              <w:bottom w:val="single" w:sz="8" w:space="0" w:color="000000"/>
              <w:right w:val="nil"/>
            </w:tcBorders>
            <w:shd w:val="clear" w:color="auto" w:fill="auto"/>
            <w:vAlign w:val="center"/>
            <w:hideMark/>
          </w:tcPr>
          <w:p w14:paraId="264E2177"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Opis</w:t>
            </w:r>
          </w:p>
        </w:tc>
        <w:tc>
          <w:tcPr>
            <w:tcW w:w="1256" w:type="dxa"/>
            <w:vMerge w:val="restart"/>
            <w:tcBorders>
              <w:top w:val="single" w:sz="8" w:space="0" w:color="auto"/>
              <w:left w:val="nil"/>
              <w:bottom w:val="single" w:sz="8" w:space="0" w:color="000000"/>
              <w:right w:val="nil"/>
            </w:tcBorders>
            <w:shd w:val="clear" w:color="auto" w:fill="auto"/>
            <w:vAlign w:val="center"/>
            <w:hideMark/>
          </w:tcPr>
          <w:p w14:paraId="1E669837"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Izvršenje</w:t>
            </w:r>
            <w:r w:rsidRPr="00A17B6F">
              <w:rPr>
                <w:rFonts w:ascii="Calibri" w:eastAsia="Times New Roman" w:hAnsi="Calibri" w:cs="Calibri"/>
                <w:b/>
                <w:bCs/>
                <w:color w:val="000000"/>
                <w:sz w:val="16"/>
                <w:szCs w:val="16"/>
                <w:lang w:eastAsia="hr-HR"/>
              </w:rPr>
              <w:br/>
              <w:t>1.-6.2023.</w:t>
            </w:r>
          </w:p>
        </w:tc>
        <w:tc>
          <w:tcPr>
            <w:tcW w:w="1235" w:type="dxa"/>
            <w:vMerge w:val="restart"/>
            <w:tcBorders>
              <w:top w:val="single" w:sz="8" w:space="0" w:color="auto"/>
              <w:left w:val="nil"/>
              <w:bottom w:val="single" w:sz="8" w:space="0" w:color="000000"/>
              <w:right w:val="nil"/>
            </w:tcBorders>
            <w:shd w:val="clear" w:color="auto" w:fill="auto"/>
            <w:vAlign w:val="center"/>
            <w:hideMark/>
          </w:tcPr>
          <w:p w14:paraId="60EA427B"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 xml:space="preserve">Tekući plan </w:t>
            </w:r>
            <w:r w:rsidRPr="00A17B6F">
              <w:rPr>
                <w:rFonts w:ascii="Calibri" w:eastAsia="Times New Roman" w:hAnsi="Calibri" w:cs="Calibri"/>
                <w:b/>
                <w:bCs/>
                <w:color w:val="000000"/>
                <w:sz w:val="16"/>
                <w:szCs w:val="16"/>
                <w:lang w:eastAsia="hr-HR"/>
              </w:rPr>
              <w:br/>
              <w:t>2024.</w:t>
            </w:r>
          </w:p>
        </w:tc>
        <w:tc>
          <w:tcPr>
            <w:tcW w:w="1235" w:type="dxa"/>
            <w:vMerge w:val="restart"/>
            <w:tcBorders>
              <w:top w:val="single" w:sz="8" w:space="0" w:color="auto"/>
              <w:left w:val="nil"/>
              <w:bottom w:val="single" w:sz="8" w:space="0" w:color="000000"/>
              <w:right w:val="nil"/>
            </w:tcBorders>
            <w:shd w:val="clear" w:color="auto" w:fill="auto"/>
            <w:vAlign w:val="center"/>
            <w:hideMark/>
          </w:tcPr>
          <w:p w14:paraId="160553FC"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Izvršenje</w:t>
            </w:r>
            <w:r w:rsidRPr="00A17B6F">
              <w:rPr>
                <w:rFonts w:ascii="Calibri" w:eastAsia="Times New Roman" w:hAnsi="Calibri" w:cs="Calibri"/>
                <w:b/>
                <w:bCs/>
                <w:color w:val="000000"/>
                <w:sz w:val="16"/>
                <w:szCs w:val="16"/>
                <w:lang w:eastAsia="hr-HR"/>
              </w:rPr>
              <w:br/>
              <w:t>1.-6.2024.</w:t>
            </w:r>
          </w:p>
        </w:tc>
        <w:tc>
          <w:tcPr>
            <w:tcW w:w="807" w:type="dxa"/>
            <w:vMerge w:val="restart"/>
            <w:tcBorders>
              <w:top w:val="single" w:sz="8" w:space="0" w:color="auto"/>
              <w:left w:val="nil"/>
              <w:bottom w:val="single" w:sz="8" w:space="0" w:color="000000"/>
              <w:right w:val="nil"/>
            </w:tcBorders>
            <w:shd w:val="clear" w:color="auto" w:fill="auto"/>
            <w:vAlign w:val="center"/>
            <w:hideMark/>
          </w:tcPr>
          <w:p w14:paraId="6573A237"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Indeks Izvršenje 2024./</w:t>
            </w:r>
            <w:r w:rsidRPr="00A17B6F">
              <w:rPr>
                <w:rFonts w:ascii="Calibri" w:eastAsia="Times New Roman" w:hAnsi="Calibri" w:cs="Calibri"/>
                <w:b/>
                <w:bCs/>
                <w:color w:val="000000"/>
                <w:sz w:val="16"/>
                <w:szCs w:val="16"/>
                <w:lang w:eastAsia="hr-HR"/>
              </w:rPr>
              <w:br/>
              <w:t>Izvršenje 2023.</w:t>
            </w:r>
          </w:p>
        </w:tc>
        <w:tc>
          <w:tcPr>
            <w:tcW w:w="996" w:type="dxa"/>
            <w:vMerge w:val="restart"/>
            <w:tcBorders>
              <w:top w:val="single" w:sz="8" w:space="0" w:color="auto"/>
              <w:left w:val="nil"/>
              <w:bottom w:val="single" w:sz="8" w:space="0" w:color="000000"/>
              <w:right w:val="nil"/>
            </w:tcBorders>
            <w:shd w:val="clear" w:color="auto" w:fill="auto"/>
            <w:vAlign w:val="center"/>
            <w:hideMark/>
          </w:tcPr>
          <w:p w14:paraId="2023169D"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Indeks</w:t>
            </w:r>
            <w:r w:rsidRPr="00A17B6F">
              <w:rPr>
                <w:rFonts w:ascii="Calibri" w:eastAsia="Times New Roman" w:hAnsi="Calibri" w:cs="Calibri"/>
                <w:b/>
                <w:bCs/>
                <w:color w:val="000000"/>
                <w:sz w:val="16"/>
                <w:szCs w:val="16"/>
                <w:lang w:eastAsia="hr-HR"/>
              </w:rPr>
              <w:br/>
              <w:t>Izvršenje</w:t>
            </w:r>
            <w:r w:rsidRPr="00A17B6F">
              <w:rPr>
                <w:rFonts w:ascii="Calibri" w:eastAsia="Times New Roman" w:hAnsi="Calibri" w:cs="Calibri"/>
                <w:b/>
                <w:bCs/>
                <w:color w:val="000000"/>
                <w:sz w:val="16"/>
                <w:szCs w:val="16"/>
                <w:lang w:eastAsia="hr-HR"/>
              </w:rPr>
              <w:br/>
              <w:t>1.-6.2024./ Tekući plan 2024.</w:t>
            </w:r>
          </w:p>
        </w:tc>
        <w:tc>
          <w:tcPr>
            <w:tcW w:w="2433" w:type="dxa"/>
            <w:gridSpan w:val="2"/>
            <w:tcBorders>
              <w:top w:val="single" w:sz="8" w:space="0" w:color="auto"/>
              <w:left w:val="nil"/>
              <w:bottom w:val="single" w:sz="8" w:space="0" w:color="auto"/>
              <w:right w:val="nil"/>
            </w:tcBorders>
            <w:shd w:val="clear" w:color="auto" w:fill="auto"/>
            <w:noWrap/>
            <w:vAlign w:val="center"/>
            <w:hideMark/>
          </w:tcPr>
          <w:p w14:paraId="7D273775"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Izvršenje 1.-6.2024.</w:t>
            </w:r>
          </w:p>
        </w:tc>
      </w:tr>
      <w:tr w:rsidR="00D10805" w:rsidRPr="00A17B6F" w14:paraId="6FDF34DD" w14:textId="77777777" w:rsidTr="00BC1CA7">
        <w:trPr>
          <w:trHeight w:val="975"/>
        </w:trPr>
        <w:tc>
          <w:tcPr>
            <w:tcW w:w="947" w:type="dxa"/>
            <w:vMerge/>
            <w:tcBorders>
              <w:top w:val="single" w:sz="8" w:space="0" w:color="auto"/>
              <w:left w:val="nil"/>
              <w:bottom w:val="single" w:sz="8" w:space="0" w:color="000000"/>
              <w:right w:val="nil"/>
            </w:tcBorders>
            <w:vAlign w:val="center"/>
            <w:hideMark/>
          </w:tcPr>
          <w:p w14:paraId="3F3BD843"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2455" w:type="dxa"/>
            <w:vMerge/>
            <w:tcBorders>
              <w:top w:val="single" w:sz="8" w:space="0" w:color="auto"/>
              <w:left w:val="nil"/>
              <w:bottom w:val="single" w:sz="8" w:space="0" w:color="000000"/>
              <w:right w:val="nil"/>
            </w:tcBorders>
            <w:vAlign w:val="center"/>
            <w:hideMark/>
          </w:tcPr>
          <w:p w14:paraId="75E44B51"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1256" w:type="dxa"/>
            <w:vMerge/>
            <w:tcBorders>
              <w:top w:val="single" w:sz="8" w:space="0" w:color="auto"/>
              <w:left w:val="nil"/>
              <w:bottom w:val="single" w:sz="8" w:space="0" w:color="000000"/>
              <w:right w:val="nil"/>
            </w:tcBorders>
            <w:vAlign w:val="center"/>
            <w:hideMark/>
          </w:tcPr>
          <w:p w14:paraId="522A5F7B"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1235" w:type="dxa"/>
            <w:vMerge/>
            <w:tcBorders>
              <w:top w:val="single" w:sz="8" w:space="0" w:color="auto"/>
              <w:left w:val="nil"/>
              <w:bottom w:val="single" w:sz="8" w:space="0" w:color="000000"/>
              <w:right w:val="nil"/>
            </w:tcBorders>
            <w:vAlign w:val="center"/>
            <w:hideMark/>
          </w:tcPr>
          <w:p w14:paraId="3E9DD1AB"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1235" w:type="dxa"/>
            <w:vMerge/>
            <w:tcBorders>
              <w:top w:val="single" w:sz="8" w:space="0" w:color="auto"/>
              <w:left w:val="nil"/>
              <w:bottom w:val="single" w:sz="8" w:space="0" w:color="000000"/>
              <w:right w:val="nil"/>
            </w:tcBorders>
            <w:vAlign w:val="center"/>
            <w:hideMark/>
          </w:tcPr>
          <w:p w14:paraId="47815ABF"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807" w:type="dxa"/>
            <w:vMerge/>
            <w:tcBorders>
              <w:top w:val="single" w:sz="8" w:space="0" w:color="auto"/>
              <w:left w:val="nil"/>
              <w:bottom w:val="single" w:sz="8" w:space="0" w:color="000000"/>
              <w:right w:val="nil"/>
            </w:tcBorders>
            <w:vAlign w:val="center"/>
            <w:hideMark/>
          </w:tcPr>
          <w:p w14:paraId="4883321E"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996" w:type="dxa"/>
            <w:vMerge/>
            <w:tcBorders>
              <w:top w:val="single" w:sz="8" w:space="0" w:color="auto"/>
              <w:left w:val="nil"/>
              <w:bottom w:val="single" w:sz="8" w:space="0" w:color="000000"/>
              <w:right w:val="nil"/>
            </w:tcBorders>
            <w:vAlign w:val="center"/>
            <w:hideMark/>
          </w:tcPr>
          <w:p w14:paraId="6C2695D8"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p>
        </w:tc>
        <w:tc>
          <w:tcPr>
            <w:tcW w:w="1154" w:type="dxa"/>
            <w:tcBorders>
              <w:top w:val="nil"/>
              <w:left w:val="nil"/>
              <w:bottom w:val="single" w:sz="8" w:space="0" w:color="auto"/>
              <w:right w:val="nil"/>
            </w:tcBorders>
            <w:shd w:val="clear" w:color="auto" w:fill="auto"/>
            <w:vAlign w:val="center"/>
            <w:hideMark/>
          </w:tcPr>
          <w:p w14:paraId="1F4F5D5B"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Županijski rashodi i izdaci</w:t>
            </w:r>
          </w:p>
        </w:tc>
        <w:tc>
          <w:tcPr>
            <w:tcW w:w="1279" w:type="dxa"/>
            <w:tcBorders>
              <w:top w:val="nil"/>
              <w:left w:val="nil"/>
              <w:bottom w:val="single" w:sz="8" w:space="0" w:color="auto"/>
              <w:right w:val="nil"/>
            </w:tcBorders>
            <w:shd w:val="clear" w:color="auto" w:fill="auto"/>
            <w:vAlign w:val="center"/>
            <w:hideMark/>
          </w:tcPr>
          <w:p w14:paraId="42BD3676"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Rashodi i izdaci županijskih korisnika</w:t>
            </w:r>
          </w:p>
        </w:tc>
      </w:tr>
      <w:tr w:rsidR="00D10805" w:rsidRPr="00A17B6F" w14:paraId="78A875E7" w14:textId="77777777" w:rsidTr="00BC1CA7">
        <w:trPr>
          <w:trHeight w:val="270"/>
        </w:trPr>
        <w:tc>
          <w:tcPr>
            <w:tcW w:w="947" w:type="dxa"/>
            <w:tcBorders>
              <w:top w:val="nil"/>
              <w:left w:val="nil"/>
              <w:bottom w:val="single" w:sz="8" w:space="0" w:color="auto"/>
              <w:right w:val="nil"/>
            </w:tcBorders>
            <w:shd w:val="clear" w:color="000000" w:fill="FFFFFF"/>
            <w:vAlign w:val="center"/>
            <w:hideMark/>
          </w:tcPr>
          <w:p w14:paraId="60FC06FB"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w:t>
            </w:r>
          </w:p>
        </w:tc>
        <w:tc>
          <w:tcPr>
            <w:tcW w:w="2455" w:type="dxa"/>
            <w:tcBorders>
              <w:top w:val="nil"/>
              <w:left w:val="nil"/>
              <w:bottom w:val="single" w:sz="8" w:space="0" w:color="auto"/>
              <w:right w:val="nil"/>
            </w:tcBorders>
            <w:shd w:val="clear" w:color="000000" w:fill="FFFFFF"/>
            <w:vAlign w:val="center"/>
            <w:hideMark/>
          </w:tcPr>
          <w:p w14:paraId="3FA4BF66"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2</w:t>
            </w:r>
          </w:p>
        </w:tc>
        <w:tc>
          <w:tcPr>
            <w:tcW w:w="1256" w:type="dxa"/>
            <w:tcBorders>
              <w:top w:val="nil"/>
              <w:left w:val="nil"/>
              <w:bottom w:val="single" w:sz="8" w:space="0" w:color="auto"/>
              <w:right w:val="nil"/>
            </w:tcBorders>
            <w:shd w:val="clear" w:color="000000" w:fill="FFFFFF"/>
            <w:vAlign w:val="center"/>
            <w:hideMark/>
          </w:tcPr>
          <w:p w14:paraId="2E4F7B55"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3</w:t>
            </w:r>
          </w:p>
        </w:tc>
        <w:tc>
          <w:tcPr>
            <w:tcW w:w="1235" w:type="dxa"/>
            <w:tcBorders>
              <w:top w:val="nil"/>
              <w:left w:val="nil"/>
              <w:bottom w:val="single" w:sz="8" w:space="0" w:color="auto"/>
              <w:right w:val="nil"/>
            </w:tcBorders>
            <w:shd w:val="clear" w:color="000000" w:fill="FFFFFF"/>
            <w:vAlign w:val="center"/>
            <w:hideMark/>
          </w:tcPr>
          <w:p w14:paraId="3A3B2619"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w:t>
            </w:r>
          </w:p>
        </w:tc>
        <w:tc>
          <w:tcPr>
            <w:tcW w:w="1235" w:type="dxa"/>
            <w:tcBorders>
              <w:top w:val="nil"/>
              <w:left w:val="nil"/>
              <w:bottom w:val="single" w:sz="8" w:space="0" w:color="auto"/>
              <w:right w:val="nil"/>
            </w:tcBorders>
            <w:shd w:val="clear" w:color="000000" w:fill="FFFFFF"/>
            <w:vAlign w:val="center"/>
            <w:hideMark/>
          </w:tcPr>
          <w:p w14:paraId="0A316C18"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5</w:t>
            </w:r>
          </w:p>
        </w:tc>
        <w:tc>
          <w:tcPr>
            <w:tcW w:w="807" w:type="dxa"/>
            <w:tcBorders>
              <w:top w:val="nil"/>
              <w:left w:val="nil"/>
              <w:bottom w:val="single" w:sz="8" w:space="0" w:color="auto"/>
              <w:right w:val="nil"/>
            </w:tcBorders>
            <w:shd w:val="clear" w:color="000000" w:fill="FFFFFF"/>
            <w:vAlign w:val="center"/>
            <w:hideMark/>
          </w:tcPr>
          <w:p w14:paraId="250C947C"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6(5/3)</w:t>
            </w:r>
          </w:p>
        </w:tc>
        <w:tc>
          <w:tcPr>
            <w:tcW w:w="996" w:type="dxa"/>
            <w:tcBorders>
              <w:top w:val="nil"/>
              <w:left w:val="nil"/>
              <w:bottom w:val="single" w:sz="8" w:space="0" w:color="auto"/>
              <w:right w:val="nil"/>
            </w:tcBorders>
            <w:shd w:val="clear" w:color="000000" w:fill="FFFFFF"/>
            <w:vAlign w:val="center"/>
            <w:hideMark/>
          </w:tcPr>
          <w:p w14:paraId="6EA922A0"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7(5/4)</w:t>
            </w:r>
          </w:p>
        </w:tc>
        <w:tc>
          <w:tcPr>
            <w:tcW w:w="1154" w:type="dxa"/>
            <w:tcBorders>
              <w:top w:val="nil"/>
              <w:left w:val="nil"/>
              <w:bottom w:val="single" w:sz="8" w:space="0" w:color="auto"/>
              <w:right w:val="nil"/>
            </w:tcBorders>
            <w:shd w:val="clear" w:color="auto" w:fill="auto"/>
            <w:vAlign w:val="center"/>
            <w:hideMark/>
          </w:tcPr>
          <w:p w14:paraId="69A23C33"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8</w:t>
            </w:r>
          </w:p>
        </w:tc>
        <w:tc>
          <w:tcPr>
            <w:tcW w:w="1279" w:type="dxa"/>
            <w:tcBorders>
              <w:top w:val="nil"/>
              <w:left w:val="nil"/>
              <w:bottom w:val="single" w:sz="8" w:space="0" w:color="auto"/>
              <w:right w:val="nil"/>
            </w:tcBorders>
            <w:shd w:val="clear" w:color="auto" w:fill="auto"/>
            <w:vAlign w:val="center"/>
            <w:hideMark/>
          </w:tcPr>
          <w:p w14:paraId="0FEC55E9" w14:textId="77777777" w:rsidR="00D10805" w:rsidRPr="00A17B6F" w:rsidRDefault="00D10805" w:rsidP="00D10805">
            <w:pPr>
              <w:spacing w:after="0" w:line="240" w:lineRule="auto"/>
              <w:jc w:val="center"/>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9</w:t>
            </w:r>
          </w:p>
        </w:tc>
      </w:tr>
      <w:tr w:rsidR="00D10805" w:rsidRPr="00A17B6F" w14:paraId="2D56F757" w14:textId="77777777" w:rsidTr="00BC1CA7">
        <w:trPr>
          <w:trHeight w:val="315"/>
        </w:trPr>
        <w:tc>
          <w:tcPr>
            <w:tcW w:w="947" w:type="dxa"/>
            <w:tcBorders>
              <w:top w:val="nil"/>
              <w:left w:val="nil"/>
              <w:bottom w:val="single" w:sz="8" w:space="0" w:color="auto"/>
              <w:right w:val="nil"/>
            </w:tcBorders>
            <w:shd w:val="clear" w:color="000000" w:fill="F2F2F2"/>
            <w:noWrap/>
            <w:vAlign w:val="center"/>
            <w:hideMark/>
          </w:tcPr>
          <w:p w14:paraId="71C009D7" w14:textId="77777777" w:rsidR="00D10805" w:rsidRPr="00A17B6F" w:rsidRDefault="00D10805" w:rsidP="00D10805">
            <w:pPr>
              <w:spacing w:after="0" w:line="240" w:lineRule="auto"/>
              <w:jc w:val="center"/>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3</w:t>
            </w:r>
          </w:p>
        </w:tc>
        <w:tc>
          <w:tcPr>
            <w:tcW w:w="2455" w:type="dxa"/>
            <w:tcBorders>
              <w:top w:val="nil"/>
              <w:left w:val="nil"/>
              <w:bottom w:val="single" w:sz="8" w:space="0" w:color="auto"/>
              <w:right w:val="nil"/>
            </w:tcBorders>
            <w:shd w:val="clear" w:color="000000" w:fill="F2F2F2"/>
            <w:vAlign w:val="center"/>
            <w:hideMark/>
          </w:tcPr>
          <w:p w14:paraId="6F465EBC" w14:textId="77777777" w:rsidR="00D10805" w:rsidRPr="00A17B6F" w:rsidRDefault="00D10805" w:rsidP="00D10805">
            <w:pPr>
              <w:spacing w:after="0" w:line="240" w:lineRule="auto"/>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RASHODI POSLOVANJA</w:t>
            </w:r>
          </w:p>
        </w:tc>
        <w:tc>
          <w:tcPr>
            <w:tcW w:w="1256" w:type="dxa"/>
            <w:tcBorders>
              <w:top w:val="nil"/>
              <w:left w:val="nil"/>
              <w:bottom w:val="single" w:sz="8" w:space="0" w:color="auto"/>
              <w:right w:val="nil"/>
            </w:tcBorders>
            <w:shd w:val="clear" w:color="000000" w:fill="F2F2F2"/>
            <w:noWrap/>
            <w:vAlign w:val="center"/>
            <w:hideMark/>
          </w:tcPr>
          <w:p w14:paraId="79AD4635"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96.122.701,37</w:t>
            </w:r>
          </w:p>
        </w:tc>
        <w:tc>
          <w:tcPr>
            <w:tcW w:w="1235" w:type="dxa"/>
            <w:tcBorders>
              <w:top w:val="nil"/>
              <w:left w:val="nil"/>
              <w:bottom w:val="single" w:sz="8" w:space="0" w:color="auto"/>
              <w:right w:val="nil"/>
            </w:tcBorders>
            <w:shd w:val="clear" w:color="000000" w:fill="F2F2F2"/>
            <w:noWrap/>
            <w:vAlign w:val="center"/>
            <w:hideMark/>
          </w:tcPr>
          <w:p w14:paraId="076B5F76"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264.475.109,05</w:t>
            </w:r>
          </w:p>
        </w:tc>
        <w:tc>
          <w:tcPr>
            <w:tcW w:w="1235" w:type="dxa"/>
            <w:tcBorders>
              <w:top w:val="nil"/>
              <w:left w:val="nil"/>
              <w:bottom w:val="single" w:sz="8" w:space="0" w:color="auto"/>
              <w:right w:val="nil"/>
            </w:tcBorders>
            <w:shd w:val="clear" w:color="000000" w:fill="F2F2F2"/>
            <w:noWrap/>
            <w:vAlign w:val="center"/>
            <w:hideMark/>
          </w:tcPr>
          <w:p w14:paraId="3D39DD40"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118.683.754,37</w:t>
            </w:r>
          </w:p>
        </w:tc>
        <w:tc>
          <w:tcPr>
            <w:tcW w:w="807" w:type="dxa"/>
            <w:tcBorders>
              <w:top w:val="nil"/>
              <w:left w:val="nil"/>
              <w:bottom w:val="single" w:sz="8" w:space="0" w:color="auto"/>
              <w:right w:val="nil"/>
            </w:tcBorders>
            <w:shd w:val="clear" w:color="000000" w:fill="F2F2F2"/>
            <w:noWrap/>
            <w:vAlign w:val="center"/>
            <w:hideMark/>
          </w:tcPr>
          <w:p w14:paraId="6FE9C09B"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123,47</w:t>
            </w:r>
          </w:p>
        </w:tc>
        <w:tc>
          <w:tcPr>
            <w:tcW w:w="996" w:type="dxa"/>
            <w:tcBorders>
              <w:top w:val="nil"/>
              <w:left w:val="nil"/>
              <w:bottom w:val="single" w:sz="8" w:space="0" w:color="auto"/>
              <w:right w:val="nil"/>
            </w:tcBorders>
            <w:shd w:val="clear" w:color="000000" w:fill="F2F2F2"/>
            <w:noWrap/>
            <w:vAlign w:val="center"/>
            <w:hideMark/>
          </w:tcPr>
          <w:p w14:paraId="758EEAC6"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44,88</w:t>
            </w:r>
          </w:p>
        </w:tc>
        <w:tc>
          <w:tcPr>
            <w:tcW w:w="1154" w:type="dxa"/>
            <w:tcBorders>
              <w:top w:val="nil"/>
              <w:left w:val="nil"/>
              <w:bottom w:val="single" w:sz="8" w:space="0" w:color="auto"/>
              <w:right w:val="nil"/>
            </w:tcBorders>
            <w:shd w:val="clear" w:color="000000" w:fill="F2F2F2"/>
            <w:noWrap/>
            <w:vAlign w:val="center"/>
            <w:hideMark/>
          </w:tcPr>
          <w:p w14:paraId="06D1A080"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24.244.830,41</w:t>
            </w:r>
          </w:p>
        </w:tc>
        <w:tc>
          <w:tcPr>
            <w:tcW w:w="1279" w:type="dxa"/>
            <w:tcBorders>
              <w:top w:val="nil"/>
              <w:left w:val="nil"/>
              <w:bottom w:val="single" w:sz="8" w:space="0" w:color="auto"/>
              <w:right w:val="nil"/>
            </w:tcBorders>
            <w:shd w:val="clear" w:color="000000" w:fill="F2F2F2"/>
            <w:noWrap/>
            <w:vAlign w:val="center"/>
            <w:hideMark/>
          </w:tcPr>
          <w:p w14:paraId="3306F7A3" w14:textId="77777777" w:rsidR="00D10805" w:rsidRPr="00A17B6F" w:rsidRDefault="00D10805" w:rsidP="00D10805">
            <w:pPr>
              <w:spacing w:after="0" w:line="240" w:lineRule="auto"/>
              <w:jc w:val="right"/>
              <w:rPr>
                <w:rFonts w:ascii="Calibri" w:eastAsia="Times New Roman" w:hAnsi="Calibri" w:cs="Calibri"/>
                <w:b/>
                <w:bCs/>
                <w:sz w:val="16"/>
                <w:szCs w:val="16"/>
                <w:lang w:eastAsia="hr-HR"/>
              </w:rPr>
            </w:pPr>
            <w:r w:rsidRPr="00A17B6F">
              <w:rPr>
                <w:rFonts w:ascii="Calibri" w:eastAsia="Times New Roman" w:hAnsi="Calibri" w:cs="Calibri"/>
                <w:b/>
                <w:bCs/>
                <w:sz w:val="16"/>
                <w:szCs w:val="16"/>
                <w:lang w:eastAsia="hr-HR"/>
              </w:rPr>
              <w:t>94.438.923,96</w:t>
            </w:r>
          </w:p>
        </w:tc>
      </w:tr>
      <w:tr w:rsidR="00D10805" w:rsidRPr="00A17B6F" w14:paraId="77070E8B" w14:textId="77777777" w:rsidTr="00BC1CA7">
        <w:trPr>
          <w:trHeight w:val="300"/>
        </w:trPr>
        <w:tc>
          <w:tcPr>
            <w:tcW w:w="947" w:type="dxa"/>
            <w:tcBorders>
              <w:top w:val="nil"/>
              <w:left w:val="nil"/>
              <w:bottom w:val="nil"/>
              <w:right w:val="nil"/>
            </w:tcBorders>
            <w:shd w:val="clear" w:color="auto" w:fill="auto"/>
            <w:noWrap/>
            <w:vAlign w:val="center"/>
            <w:hideMark/>
          </w:tcPr>
          <w:p w14:paraId="7C5B973F" w14:textId="77777777" w:rsidR="00D10805" w:rsidRPr="00A17B6F" w:rsidRDefault="00D10805" w:rsidP="00D10805">
            <w:pPr>
              <w:spacing w:after="0" w:line="240" w:lineRule="auto"/>
              <w:jc w:val="center"/>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31</w:t>
            </w:r>
          </w:p>
        </w:tc>
        <w:tc>
          <w:tcPr>
            <w:tcW w:w="2455" w:type="dxa"/>
            <w:tcBorders>
              <w:top w:val="nil"/>
              <w:left w:val="nil"/>
              <w:bottom w:val="nil"/>
              <w:right w:val="nil"/>
            </w:tcBorders>
            <w:shd w:val="clear" w:color="auto" w:fill="auto"/>
            <w:vAlign w:val="center"/>
            <w:hideMark/>
          </w:tcPr>
          <w:p w14:paraId="60C65980" w14:textId="77777777" w:rsidR="00D10805" w:rsidRPr="00A17B6F" w:rsidRDefault="00D10805" w:rsidP="00D10805">
            <w:pPr>
              <w:spacing w:after="0" w:line="240" w:lineRule="auto"/>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Rashodi za zaposlene</w:t>
            </w:r>
          </w:p>
        </w:tc>
        <w:tc>
          <w:tcPr>
            <w:tcW w:w="1256" w:type="dxa"/>
            <w:tcBorders>
              <w:top w:val="nil"/>
              <w:left w:val="nil"/>
              <w:bottom w:val="nil"/>
              <w:right w:val="nil"/>
            </w:tcBorders>
            <w:shd w:val="clear" w:color="auto" w:fill="auto"/>
            <w:noWrap/>
            <w:vAlign w:val="center"/>
            <w:hideMark/>
          </w:tcPr>
          <w:p w14:paraId="34646907" w14:textId="77777777" w:rsidR="00D10805" w:rsidRPr="00A17B6F" w:rsidRDefault="00D10805" w:rsidP="00D10805">
            <w:pPr>
              <w:spacing w:after="0" w:line="240" w:lineRule="auto"/>
              <w:jc w:val="right"/>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68.167.697,64</w:t>
            </w:r>
          </w:p>
        </w:tc>
        <w:tc>
          <w:tcPr>
            <w:tcW w:w="1235" w:type="dxa"/>
            <w:tcBorders>
              <w:top w:val="nil"/>
              <w:left w:val="nil"/>
              <w:bottom w:val="nil"/>
              <w:right w:val="nil"/>
            </w:tcBorders>
            <w:shd w:val="clear" w:color="auto" w:fill="auto"/>
            <w:noWrap/>
            <w:vAlign w:val="center"/>
            <w:hideMark/>
          </w:tcPr>
          <w:p w14:paraId="0B1E101B" w14:textId="77777777" w:rsidR="00D10805" w:rsidRPr="00A17B6F" w:rsidRDefault="00D10805" w:rsidP="00D10805">
            <w:pPr>
              <w:spacing w:after="0" w:line="240" w:lineRule="auto"/>
              <w:jc w:val="right"/>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179.210.444,44</w:t>
            </w:r>
          </w:p>
        </w:tc>
        <w:tc>
          <w:tcPr>
            <w:tcW w:w="1235" w:type="dxa"/>
            <w:tcBorders>
              <w:top w:val="nil"/>
              <w:left w:val="nil"/>
              <w:bottom w:val="nil"/>
              <w:right w:val="nil"/>
            </w:tcBorders>
            <w:shd w:val="clear" w:color="auto" w:fill="auto"/>
            <w:noWrap/>
            <w:vAlign w:val="center"/>
            <w:hideMark/>
          </w:tcPr>
          <w:p w14:paraId="1B5C9821" w14:textId="77777777" w:rsidR="00D10805" w:rsidRPr="00A17B6F" w:rsidRDefault="00D10805" w:rsidP="00D10805">
            <w:pPr>
              <w:spacing w:after="0" w:line="240" w:lineRule="auto"/>
              <w:jc w:val="right"/>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88.280.593,38</w:t>
            </w:r>
          </w:p>
        </w:tc>
        <w:tc>
          <w:tcPr>
            <w:tcW w:w="807" w:type="dxa"/>
            <w:tcBorders>
              <w:top w:val="nil"/>
              <w:left w:val="nil"/>
              <w:bottom w:val="nil"/>
              <w:right w:val="nil"/>
            </w:tcBorders>
            <w:shd w:val="clear" w:color="auto" w:fill="auto"/>
            <w:noWrap/>
            <w:vAlign w:val="center"/>
            <w:hideMark/>
          </w:tcPr>
          <w:p w14:paraId="4A44E5EE" w14:textId="77777777" w:rsidR="00D10805" w:rsidRPr="00A17B6F" w:rsidRDefault="00D10805" w:rsidP="00D10805">
            <w:pPr>
              <w:spacing w:after="0" w:line="240" w:lineRule="auto"/>
              <w:jc w:val="right"/>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129,51</w:t>
            </w:r>
          </w:p>
        </w:tc>
        <w:tc>
          <w:tcPr>
            <w:tcW w:w="996" w:type="dxa"/>
            <w:tcBorders>
              <w:top w:val="nil"/>
              <w:left w:val="nil"/>
              <w:bottom w:val="nil"/>
              <w:right w:val="nil"/>
            </w:tcBorders>
            <w:shd w:val="clear" w:color="auto" w:fill="auto"/>
            <w:noWrap/>
            <w:vAlign w:val="center"/>
            <w:hideMark/>
          </w:tcPr>
          <w:p w14:paraId="5035C14A" w14:textId="77777777" w:rsidR="00D10805" w:rsidRPr="00A17B6F" w:rsidRDefault="00D10805" w:rsidP="00D10805">
            <w:pPr>
              <w:spacing w:after="0" w:line="240" w:lineRule="auto"/>
              <w:jc w:val="right"/>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49,26</w:t>
            </w:r>
          </w:p>
        </w:tc>
        <w:tc>
          <w:tcPr>
            <w:tcW w:w="1154" w:type="dxa"/>
            <w:tcBorders>
              <w:top w:val="nil"/>
              <w:left w:val="nil"/>
              <w:bottom w:val="nil"/>
              <w:right w:val="nil"/>
            </w:tcBorders>
            <w:shd w:val="clear" w:color="auto" w:fill="auto"/>
            <w:noWrap/>
            <w:vAlign w:val="center"/>
            <w:hideMark/>
          </w:tcPr>
          <w:p w14:paraId="394507F4" w14:textId="77777777" w:rsidR="00D10805" w:rsidRPr="00A17B6F" w:rsidRDefault="00D10805" w:rsidP="00D10805">
            <w:pPr>
              <w:spacing w:after="0" w:line="240" w:lineRule="auto"/>
              <w:jc w:val="right"/>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10.530.112,94</w:t>
            </w:r>
          </w:p>
        </w:tc>
        <w:tc>
          <w:tcPr>
            <w:tcW w:w="1279" w:type="dxa"/>
            <w:tcBorders>
              <w:top w:val="nil"/>
              <w:left w:val="nil"/>
              <w:bottom w:val="nil"/>
              <w:right w:val="nil"/>
            </w:tcBorders>
            <w:shd w:val="clear" w:color="auto" w:fill="auto"/>
            <w:noWrap/>
            <w:vAlign w:val="center"/>
            <w:hideMark/>
          </w:tcPr>
          <w:p w14:paraId="284EEDD7" w14:textId="77777777" w:rsidR="00D10805" w:rsidRPr="00A17B6F" w:rsidRDefault="00D10805" w:rsidP="00D10805">
            <w:pPr>
              <w:spacing w:after="0" w:line="240" w:lineRule="auto"/>
              <w:jc w:val="right"/>
              <w:rPr>
                <w:rFonts w:ascii="Calibri" w:eastAsia="Times New Roman" w:hAnsi="Calibri" w:cs="Calibri"/>
                <w:sz w:val="16"/>
                <w:szCs w:val="16"/>
                <w:lang w:eastAsia="hr-HR"/>
              </w:rPr>
            </w:pPr>
            <w:r w:rsidRPr="00A17B6F">
              <w:rPr>
                <w:rFonts w:ascii="Calibri" w:eastAsia="Times New Roman" w:hAnsi="Calibri" w:cs="Calibri"/>
                <w:sz w:val="16"/>
                <w:szCs w:val="16"/>
                <w:lang w:eastAsia="hr-HR"/>
              </w:rPr>
              <w:t>77.750.480,44</w:t>
            </w:r>
          </w:p>
        </w:tc>
      </w:tr>
      <w:tr w:rsidR="00D10805" w:rsidRPr="00A17B6F" w14:paraId="095FBE91" w14:textId="77777777" w:rsidTr="00BC1CA7">
        <w:trPr>
          <w:trHeight w:val="300"/>
        </w:trPr>
        <w:tc>
          <w:tcPr>
            <w:tcW w:w="947" w:type="dxa"/>
            <w:tcBorders>
              <w:top w:val="nil"/>
              <w:left w:val="nil"/>
              <w:bottom w:val="nil"/>
              <w:right w:val="nil"/>
            </w:tcBorders>
            <w:shd w:val="clear" w:color="auto" w:fill="auto"/>
            <w:noWrap/>
            <w:vAlign w:val="center"/>
            <w:hideMark/>
          </w:tcPr>
          <w:p w14:paraId="64C5E899" w14:textId="77777777" w:rsidR="00D10805" w:rsidRPr="00A17B6F" w:rsidRDefault="00D10805" w:rsidP="00D10805">
            <w:pPr>
              <w:spacing w:after="0" w:line="240" w:lineRule="auto"/>
              <w:jc w:val="right"/>
              <w:rPr>
                <w:rFonts w:ascii="Calibri" w:eastAsia="Times New Roman" w:hAnsi="Calibri" w:cs="Calibri"/>
                <w:sz w:val="16"/>
                <w:szCs w:val="16"/>
                <w:lang w:eastAsia="hr-HR"/>
              </w:rPr>
            </w:pPr>
          </w:p>
        </w:tc>
        <w:tc>
          <w:tcPr>
            <w:tcW w:w="2455" w:type="dxa"/>
            <w:tcBorders>
              <w:top w:val="nil"/>
              <w:left w:val="nil"/>
              <w:bottom w:val="nil"/>
              <w:right w:val="nil"/>
            </w:tcBorders>
            <w:shd w:val="clear" w:color="auto" w:fill="auto"/>
            <w:vAlign w:val="center"/>
            <w:hideMark/>
          </w:tcPr>
          <w:p w14:paraId="17792A66"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 xml:space="preserve"> - županijske uprave</w:t>
            </w:r>
          </w:p>
        </w:tc>
        <w:tc>
          <w:tcPr>
            <w:tcW w:w="1256" w:type="dxa"/>
            <w:tcBorders>
              <w:top w:val="nil"/>
              <w:left w:val="nil"/>
              <w:bottom w:val="nil"/>
              <w:right w:val="nil"/>
            </w:tcBorders>
            <w:shd w:val="clear" w:color="auto" w:fill="auto"/>
            <w:noWrap/>
            <w:vAlign w:val="center"/>
            <w:hideMark/>
          </w:tcPr>
          <w:p w14:paraId="1E5C455A"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4.229.703,52</w:t>
            </w:r>
          </w:p>
        </w:tc>
        <w:tc>
          <w:tcPr>
            <w:tcW w:w="1235" w:type="dxa"/>
            <w:tcBorders>
              <w:top w:val="nil"/>
              <w:left w:val="nil"/>
              <w:bottom w:val="nil"/>
              <w:right w:val="nil"/>
            </w:tcBorders>
            <w:shd w:val="clear" w:color="auto" w:fill="auto"/>
            <w:noWrap/>
            <w:vAlign w:val="center"/>
            <w:hideMark/>
          </w:tcPr>
          <w:p w14:paraId="54DD4D4F"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11.195.890,12</w:t>
            </w:r>
          </w:p>
        </w:tc>
        <w:tc>
          <w:tcPr>
            <w:tcW w:w="1235" w:type="dxa"/>
            <w:tcBorders>
              <w:top w:val="nil"/>
              <w:left w:val="nil"/>
              <w:bottom w:val="nil"/>
              <w:right w:val="nil"/>
            </w:tcBorders>
            <w:shd w:val="clear" w:color="auto" w:fill="auto"/>
            <w:noWrap/>
            <w:vAlign w:val="center"/>
            <w:hideMark/>
          </w:tcPr>
          <w:p w14:paraId="48EBB1B5"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4.957.266,30</w:t>
            </w:r>
          </w:p>
        </w:tc>
        <w:tc>
          <w:tcPr>
            <w:tcW w:w="807" w:type="dxa"/>
            <w:tcBorders>
              <w:top w:val="nil"/>
              <w:left w:val="nil"/>
              <w:bottom w:val="nil"/>
              <w:right w:val="nil"/>
            </w:tcBorders>
            <w:shd w:val="clear" w:color="auto" w:fill="auto"/>
            <w:noWrap/>
            <w:vAlign w:val="center"/>
            <w:hideMark/>
          </w:tcPr>
          <w:p w14:paraId="150D36B6"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117,20</w:t>
            </w:r>
          </w:p>
        </w:tc>
        <w:tc>
          <w:tcPr>
            <w:tcW w:w="996" w:type="dxa"/>
            <w:tcBorders>
              <w:top w:val="nil"/>
              <w:left w:val="nil"/>
              <w:bottom w:val="nil"/>
              <w:right w:val="nil"/>
            </w:tcBorders>
            <w:shd w:val="clear" w:color="auto" w:fill="auto"/>
            <w:noWrap/>
            <w:vAlign w:val="center"/>
            <w:hideMark/>
          </w:tcPr>
          <w:p w14:paraId="36F8A24F"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44,28</w:t>
            </w:r>
          </w:p>
        </w:tc>
        <w:tc>
          <w:tcPr>
            <w:tcW w:w="1154" w:type="dxa"/>
            <w:tcBorders>
              <w:top w:val="nil"/>
              <w:left w:val="nil"/>
              <w:bottom w:val="nil"/>
              <w:right w:val="nil"/>
            </w:tcBorders>
            <w:shd w:val="clear" w:color="auto" w:fill="auto"/>
            <w:noWrap/>
            <w:vAlign w:val="center"/>
            <w:hideMark/>
          </w:tcPr>
          <w:p w14:paraId="7B778165"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4.957.266,30</w:t>
            </w:r>
          </w:p>
        </w:tc>
        <w:tc>
          <w:tcPr>
            <w:tcW w:w="1279" w:type="dxa"/>
            <w:tcBorders>
              <w:top w:val="nil"/>
              <w:left w:val="nil"/>
              <w:bottom w:val="nil"/>
              <w:right w:val="nil"/>
            </w:tcBorders>
            <w:shd w:val="clear" w:color="auto" w:fill="auto"/>
            <w:noWrap/>
            <w:vAlign w:val="center"/>
            <w:hideMark/>
          </w:tcPr>
          <w:p w14:paraId="32ABF195"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p>
        </w:tc>
      </w:tr>
      <w:tr w:rsidR="00D10805" w:rsidRPr="00A17B6F" w14:paraId="3B8D630E" w14:textId="77777777" w:rsidTr="00BC1CA7">
        <w:trPr>
          <w:trHeight w:val="480"/>
        </w:trPr>
        <w:tc>
          <w:tcPr>
            <w:tcW w:w="947" w:type="dxa"/>
            <w:tcBorders>
              <w:top w:val="nil"/>
              <w:left w:val="nil"/>
              <w:bottom w:val="nil"/>
              <w:right w:val="nil"/>
            </w:tcBorders>
            <w:shd w:val="clear" w:color="auto" w:fill="auto"/>
            <w:noWrap/>
            <w:vAlign w:val="center"/>
            <w:hideMark/>
          </w:tcPr>
          <w:p w14:paraId="391E878F" w14:textId="77777777" w:rsidR="00D10805" w:rsidRPr="00A17B6F" w:rsidRDefault="00D10805" w:rsidP="00D10805">
            <w:pPr>
              <w:spacing w:after="0" w:line="240" w:lineRule="auto"/>
              <w:rPr>
                <w:rFonts w:ascii="Times New Roman" w:eastAsia="Times New Roman" w:hAnsi="Times New Roman" w:cs="Times New Roman"/>
                <w:sz w:val="16"/>
                <w:szCs w:val="16"/>
                <w:lang w:eastAsia="hr-HR"/>
              </w:rPr>
            </w:pPr>
          </w:p>
        </w:tc>
        <w:tc>
          <w:tcPr>
            <w:tcW w:w="2455" w:type="dxa"/>
            <w:tcBorders>
              <w:top w:val="nil"/>
              <w:left w:val="nil"/>
              <w:bottom w:val="nil"/>
              <w:right w:val="nil"/>
            </w:tcBorders>
            <w:shd w:val="clear" w:color="auto" w:fill="auto"/>
            <w:vAlign w:val="center"/>
            <w:hideMark/>
          </w:tcPr>
          <w:p w14:paraId="63434C58"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 xml:space="preserve"> - proračunskih korisnika iz vlastitih izvora Županije</w:t>
            </w:r>
          </w:p>
        </w:tc>
        <w:tc>
          <w:tcPr>
            <w:tcW w:w="1256" w:type="dxa"/>
            <w:tcBorders>
              <w:top w:val="nil"/>
              <w:left w:val="nil"/>
              <w:bottom w:val="nil"/>
              <w:right w:val="nil"/>
            </w:tcBorders>
            <w:shd w:val="clear" w:color="auto" w:fill="auto"/>
            <w:noWrap/>
            <w:vAlign w:val="center"/>
            <w:hideMark/>
          </w:tcPr>
          <w:p w14:paraId="27D4AC2E"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3.460.295,01</w:t>
            </w:r>
          </w:p>
        </w:tc>
        <w:tc>
          <w:tcPr>
            <w:tcW w:w="1235" w:type="dxa"/>
            <w:tcBorders>
              <w:top w:val="nil"/>
              <w:left w:val="nil"/>
              <w:bottom w:val="nil"/>
              <w:right w:val="nil"/>
            </w:tcBorders>
            <w:shd w:val="clear" w:color="auto" w:fill="auto"/>
            <w:noWrap/>
            <w:vAlign w:val="center"/>
            <w:hideMark/>
          </w:tcPr>
          <w:p w14:paraId="24DE1CE1"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17.689.417,36</w:t>
            </w:r>
          </w:p>
        </w:tc>
        <w:tc>
          <w:tcPr>
            <w:tcW w:w="1235" w:type="dxa"/>
            <w:tcBorders>
              <w:top w:val="nil"/>
              <w:left w:val="nil"/>
              <w:bottom w:val="nil"/>
              <w:right w:val="nil"/>
            </w:tcBorders>
            <w:shd w:val="clear" w:color="auto" w:fill="auto"/>
            <w:noWrap/>
            <w:vAlign w:val="center"/>
            <w:hideMark/>
          </w:tcPr>
          <w:p w14:paraId="7806B81B"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5.572.846,64</w:t>
            </w:r>
          </w:p>
        </w:tc>
        <w:tc>
          <w:tcPr>
            <w:tcW w:w="807" w:type="dxa"/>
            <w:tcBorders>
              <w:top w:val="nil"/>
              <w:left w:val="nil"/>
              <w:bottom w:val="nil"/>
              <w:right w:val="nil"/>
            </w:tcBorders>
            <w:shd w:val="clear" w:color="auto" w:fill="auto"/>
            <w:noWrap/>
            <w:vAlign w:val="center"/>
            <w:hideMark/>
          </w:tcPr>
          <w:p w14:paraId="34D1D1E1"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161,05</w:t>
            </w:r>
          </w:p>
        </w:tc>
        <w:tc>
          <w:tcPr>
            <w:tcW w:w="996" w:type="dxa"/>
            <w:tcBorders>
              <w:top w:val="nil"/>
              <w:left w:val="nil"/>
              <w:bottom w:val="nil"/>
              <w:right w:val="nil"/>
            </w:tcBorders>
            <w:shd w:val="clear" w:color="auto" w:fill="auto"/>
            <w:noWrap/>
            <w:vAlign w:val="center"/>
            <w:hideMark/>
          </w:tcPr>
          <w:p w14:paraId="706D7821"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31,50</w:t>
            </w:r>
          </w:p>
        </w:tc>
        <w:tc>
          <w:tcPr>
            <w:tcW w:w="1154" w:type="dxa"/>
            <w:tcBorders>
              <w:top w:val="nil"/>
              <w:left w:val="nil"/>
              <w:bottom w:val="nil"/>
              <w:right w:val="nil"/>
            </w:tcBorders>
            <w:shd w:val="clear" w:color="auto" w:fill="auto"/>
            <w:noWrap/>
            <w:vAlign w:val="center"/>
            <w:hideMark/>
          </w:tcPr>
          <w:p w14:paraId="32A69090"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5.572.846,64</w:t>
            </w:r>
          </w:p>
        </w:tc>
        <w:tc>
          <w:tcPr>
            <w:tcW w:w="1279" w:type="dxa"/>
            <w:tcBorders>
              <w:top w:val="nil"/>
              <w:left w:val="nil"/>
              <w:bottom w:val="nil"/>
              <w:right w:val="nil"/>
            </w:tcBorders>
            <w:shd w:val="clear" w:color="auto" w:fill="auto"/>
            <w:noWrap/>
            <w:vAlign w:val="center"/>
            <w:hideMark/>
          </w:tcPr>
          <w:p w14:paraId="3B04A07B"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p>
        </w:tc>
      </w:tr>
      <w:tr w:rsidR="00D10805" w:rsidRPr="00A17B6F" w14:paraId="4092802A" w14:textId="77777777" w:rsidTr="00BC1CA7">
        <w:trPr>
          <w:trHeight w:val="480"/>
        </w:trPr>
        <w:tc>
          <w:tcPr>
            <w:tcW w:w="947" w:type="dxa"/>
            <w:tcBorders>
              <w:top w:val="nil"/>
              <w:left w:val="nil"/>
              <w:bottom w:val="nil"/>
              <w:right w:val="nil"/>
            </w:tcBorders>
            <w:shd w:val="clear" w:color="auto" w:fill="auto"/>
            <w:noWrap/>
            <w:vAlign w:val="center"/>
            <w:hideMark/>
          </w:tcPr>
          <w:p w14:paraId="3A1DD7CB" w14:textId="77777777" w:rsidR="00D10805" w:rsidRPr="00A17B6F" w:rsidRDefault="00D10805" w:rsidP="00D10805">
            <w:pPr>
              <w:spacing w:after="0" w:line="240" w:lineRule="auto"/>
              <w:jc w:val="right"/>
              <w:rPr>
                <w:rFonts w:ascii="Times New Roman" w:eastAsia="Times New Roman" w:hAnsi="Times New Roman" w:cs="Times New Roman"/>
                <w:sz w:val="16"/>
                <w:szCs w:val="16"/>
                <w:lang w:eastAsia="hr-HR"/>
              </w:rPr>
            </w:pPr>
          </w:p>
        </w:tc>
        <w:tc>
          <w:tcPr>
            <w:tcW w:w="2455" w:type="dxa"/>
            <w:tcBorders>
              <w:top w:val="nil"/>
              <w:left w:val="nil"/>
              <w:bottom w:val="nil"/>
              <w:right w:val="nil"/>
            </w:tcBorders>
            <w:shd w:val="clear" w:color="auto" w:fill="auto"/>
            <w:vAlign w:val="center"/>
            <w:hideMark/>
          </w:tcPr>
          <w:p w14:paraId="25EC5A11"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 xml:space="preserve"> - proračunskih korisnika iz vlastitih i namjenskih izvora</w:t>
            </w:r>
          </w:p>
        </w:tc>
        <w:tc>
          <w:tcPr>
            <w:tcW w:w="1256" w:type="dxa"/>
            <w:tcBorders>
              <w:top w:val="nil"/>
              <w:left w:val="nil"/>
              <w:bottom w:val="nil"/>
              <w:right w:val="nil"/>
            </w:tcBorders>
            <w:shd w:val="clear" w:color="auto" w:fill="auto"/>
            <w:noWrap/>
            <w:vAlign w:val="center"/>
            <w:hideMark/>
          </w:tcPr>
          <w:p w14:paraId="7748176A"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60.477.699,11</w:t>
            </w:r>
          </w:p>
        </w:tc>
        <w:tc>
          <w:tcPr>
            <w:tcW w:w="1235" w:type="dxa"/>
            <w:tcBorders>
              <w:top w:val="nil"/>
              <w:left w:val="nil"/>
              <w:bottom w:val="nil"/>
              <w:right w:val="nil"/>
            </w:tcBorders>
            <w:shd w:val="clear" w:color="auto" w:fill="auto"/>
            <w:noWrap/>
            <w:vAlign w:val="center"/>
            <w:hideMark/>
          </w:tcPr>
          <w:p w14:paraId="23B72429"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150.325.136,96</w:t>
            </w:r>
          </w:p>
        </w:tc>
        <w:tc>
          <w:tcPr>
            <w:tcW w:w="1235" w:type="dxa"/>
            <w:tcBorders>
              <w:top w:val="nil"/>
              <w:left w:val="nil"/>
              <w:bottom w:val="nil"/>
              <w:right w:val="nil"/>
            </w:tcBorders>
            <w:shd w:val="clear" w:color="auto" w:fill="auto"/>
            <w:noWrap/>
            <w:vAlign w:val="center"/>
            <w:hideMark/>
          </w:tcPr>
          <w:p w14:paraId="43F30D0A"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77.750.480,44</w:t>
            </w:r>
          </w:p>
        </w:tc>
        <w:tc>
          <w:tcPr>
            <w:tcW w:w="807" w:type="dxa"/>
            <w:tcBorders>
              <w:top w:val="nil"/>
              <w:left w:val="nil"/>
              <w:bottom w:val="nil"/>
              <w:right w:val="nil"/>
            </w:tcBorders>
            <w:shd w:val="clear" w:color="auto" w:fill="auto"/>
            <w:noWrap/>
            <w:vAlign w:val="center"/>
            <w:hideMark/>
          </w:tcPr>
          <w:p w14:paraId="5E4811CC"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128,56</w:t>
            </w:r>
          </w:p>
        </w:tc>
        <w:tc>
          <w:tcPr>
            <w:tcW w:w="996" w:type="dxa"/>
            <w:tcBorders>
              <w:top w:val="nil"/>
              <w:left w:val="nil"/>
              <w:bottom w:val="nil"/>
              <w:right w:val="nil"/>
            </w:tcBorders>
            <w:shd w:val="clear" w:color="auto" w:fill="auto"/>
            <w:noWrap/>
            <w:vAlign w:val="center"/>
            <w:hideMark/>
          </w:tcPr>
          <w:p w14:paraId="0DDF9ECC"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51,72</w:t>
            </w:r>
          </w:p>
        </w:tc>
        <w:tc>
          <w:tcPr>
            <w:tcW w:w="1154" w:type="dxa"/>
            <w:tcBorders>
              <w:top w:val="nil"/>
              <w:left w:val="nil"/>
              <w:bottom w:val="nil"/>
              <w:right w:val="nil"/>
            </w:tcBorders>
            <w:shd w:val="clear" w:color="auto" w:fill="auto"/>
            <w:noWrap/>
            <w:vAlign w:val="center"/>
            <w:hideMark/>
          </w:tcPr>
          <w:p w14:paraId="56DBA9DC"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p>
        </w:tc>
        <w:tc>
          <w:tcPr>
            <w:tcW w:w="1279" w:type="dxa"/>
            <w:tcBorders>
              <w:top w:val="nil"/>
              <w:left w:val="nil"/>
              <w:bottom w:val="nil"/>
              <w:right w:val="nil"/>
            </w:tcBorders>
            <w:shd w:val="clear" w:color="auto" w:fill="auto"/>
            <w:noWrap/>
            <w:vAlign w:val="center"/>
            <w:hideMark/>
          </w:tcPr>
          <w:p w14:paraId="44104E23" w14:textId="77777777" w:rsidR="00D10805" w:rsidRPr="00A17B6F" w:rsidRDefault="00D10805" w:rsidP="00D10805">
            <w:pPr>
              <w:spacing w:after="0" w:line="240" w:lineRule="auto"/>
              <w:jc w:val="right"/>
              <w:rPr>
                <w:rFonts w:ascii="Calibri" w:eastAsia="Times New Roman" w:hAnsi="Calibri" w:cs="Calibri"/>
                <w:i/>
                <w:iCs/>
                <w:color w:val="000000"/>
                <w:sz w:val="16"/>
                <w:szCs w:val="16"/>
                <w:lang w:eastAsia="hr-HR"/>
              </w:rPr>
            </w:pPr>
            <w:r w:rsidRPr="00A17B6F">
              <w:rPr>
                <w:rFonts w:ascii="Calibri" w:eastAsia="Times New Roman" w:hAnsi="Calibri" w:cs="Calibri"/>
                <w:i/>
                <w:iCs/>
                <w:color w:val="000000"/>
                <w:sz w:val="16"/>
                <w:szCs w:val="16"/>
                <w:lang w:eastAsia="hr-HR"/>
              </w:rPr>
              <w:t>77.750.480,44</w:t>
            </w:r>
          </w:p>
        </w:tc>
      </w:tr>
      <w:tr w:rsidR="00D10805" w:rsidRPr="00A17B6F" w14:paraId="7A162185" w14:textId="77777777" w:rsidTr="00BC1CA7">
        <w:trPr>
          <w:trHeight w:val="300"/>
        </w:trPr>
        <w:tc>
          <w:tcPr>
            <w:tcW w:w="947" w:type="dxa"/>
            <w:tcBorders>
              <w:top w:val="nil"/>
              <w:left w:val="nil"/>
              <w:bottom w:val="nil"/>
              <w:right w:val="nil"/>
            </w:tcBorders>
            <w:shd w:val="clear" w:color="auto" w:fill="auto"/>
            <w:noWrap/>
            <w:vAlign w:val="center"/>
            <w:hideMark/>
          </w:tcPr>
          <w:p w14:paraId="4F4B90DE"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32</w:t>
            </w:r>
          </w:p>
        </w:tc>
        <w:tc>
          <w:tcPr>
            <w:tcW w:w="2455" w:type="dxa"/>
            <w:tcBorders>
              <w:top w:val="nil"/>
              <w:left w:val="nil"/>
              <w:bottom w:val="nil"/>
              <w:right w:val="nil"/>
            </w:tcBorders>
            <w:shd w:val="clear" w:color="auto" w:fill="auto"/>
            <w:vAlign w:val="center"/>
            <w:hideMark/>
          </w:tcPr>
          <w:p w14:paraId="210164AD"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Materijalni rashodi</w:t>
            </w:r>
          </w:p>
        </w:tc>
        <w:tc>
          <w:tcPr>
            <w:tcW w:w="1256" w:type="dxa"/>
            <w:tcBorders>
              <w:top w:val="nil"/>
              <w:left w:val="nil"/>
              <w:bottom w:val="nil"/>
              <w:right w:val="nil"/>
            </w:tcBorders>
            <w:shd w:val="clear" w:color="auto" w:fill="auto"/>
            <w:noWrap/>
            <w:vAlign w:val="center"/>
            <w:hideMark/>
          </w:tcPr>
          <w:p w14:paraId="4D7FF406"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23.045.894,57</w:t>
            </w:r>
          </w:p>
        </w:tc>
        <w:tc>
          <w:tcPr>
            <w:tcW w:w="1235" w:type="dxa"/>
            <w:tcBorders>
              <w:top w:val="nil"/>
              <w:left w:val="nil"/>
              <w:bottom w:val="nil"/>
              <w:right w:val="nil"/>
            </w:tcBorders>
            <w:shd w:val="clear" w:color="auto" w:fill="auto"/>
            <w:noWrap/>
            <w:vAlign w:val="center"/>
            <w:hideMark/>
          </w:tcPr>
          <w:p w14:paraId="40C1665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60.343.422,75</w:t>
            </w:r>
          </w:p>
        </w:tc>
        <w:tc>
          <w:tcPr>
            <w:tcW w:w="1235" w:type="dxa"/>
            <w:tcBorders>
              <w:top w:val="nil"/>
              <w:left w:val="nil"/>
              <w:bottom w:val="nil"/>
              <w:right w:val="nil"/>
            </w:tcBorders>
            <w:shd w:val="clear" w:color="auto" w:fill="auto"/>
            <w:noWrap/>
            <w:vAlign w:val="center"/>
            <w:hideMark/>
          </w:tcPr>
          <w:p w14:paraId="5680017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22.686.382,86</w:t>
            </w:r>
          </w:p>
        </w:tc>
        <w:tc>
          <w:tcPr>
            <w:tcW w:w="807" w:type="dxa"/>
            <w:tcBorders>
              <w:top w:val="nil"/>
              <w:left w:val="nil"/>
              <w:bottom w:val="nil"/>
              <w:right w:val="nil"/>
            </w:tcBorders>
            <w:shd w:val="clear" w:color="auto" w:fill="auto"/>
            <w:noWrap/>
            <w:vAlign w:val="center"/>
            <w:hideMark/>
          </w:tcPr>
          <w:p w14:paraId="07C5986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98,44</w:t>
            </w:r>
          </w:p>
        </w:tc>
        <w:tc>
          <w:tcPr>
            <w:tcW w:w="996" w:type="dxa"/>
            <w:tcBorders>
              <w:top w:val="nil"/>
              <w:left w:val="nil"/>
              <w:bottom w:val="nil"/>
              <w:right w:val="nil"/>
            </w:tcBorders>
            <w:shd w:val="clear" w:color="auto" w:fill="auto"/>
            <w:noWrap/>
            <w:vAlign w:val="center"/>
            <w:hideMark/>
          </w:tcPr>
          <w:p w14:paraId="4274CDF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37,60</w:t>
            </w:r>
          </w:p>
        </w:tc>
        <w:tc>
          <w:tcPr>
            <w:tcW w:w="1154" w:type="dxa"/>
            <w:tcBorders>
              <w:top w:val="nil"/>
              <w:left w:val="nil"/>
              <w:bottom w:val="nil"/>
              <w:right w:val="nil"/>
            </w:tcBorders>
            <w:shd w:val="clear" w:color="auto" w:fill="auto"/>
            <w:noWrap/>
            <w:vAlign w:val="center"/>
            <w:hideMark/>
          </w:tcPr>
          <w:p w14:paraId="160F0E39"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7.350.853,41</w:t>
            </w:r>
          </w:p>
        </w:tc>
        <w:tc>
          <w:tcPr>
            <w:tcW w:w="1279" w:type="dxa"/>
            <w:tcBorders>
              <w:top w:val="nil"/>
              <w:left w:val="nil"/>
              <w:bottom w:val="nil"/>
              <w:right w:val="nil"/>
            </w:tcBorders>
            <w:shd w:val="clear" w:color="auto" w:fill="auto"/>
            <w:noWrap/>
            <w:vAlign w:val="center"/>
            <w:hideMark/>
          </w:tcPr>
          <w:p w14:paraId="5AA153B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15.335.529,45</w:t>
            </w:r>
          </w:p>
        </w:tc>
      </w:tr>
      <w:tr w:rsidR="00D10805" w:rsidRPr="00A17B6F" w14:paraId="1C34C322" w14:textId="77777777" w:rsidTr="00BC1CA7">
        <w:trPr>
          <w:trHeight w:val="300"/>
        </w:trPr>
        <w:tc>
          <w:tcPr>
            <w:tcW w:w="947" w:type="dxa"/>
            <w:tcBorders>
              <w:top w:val="nil"/>
              <w:left w:val="nil"/>
              <w:bottom w:val="nil"/>
              <w:right w:val="nil"/>
            </w:tcBorders>
            <w:shd w:val="clear" w:color="auto" w:fill="auto"/>
            <w:noWrap/>
            <w:vAlign w:val="center"/>
            <w:hideMark/>
          </w:tcPr>
          <w:p w14:paraId="3E10DD6F"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34</w:t>
            </w:r>
          </w:p>
        </w:tc>
        <w:tc>
          <w:tcPr>
            <w:tcW w:w="2455" w:type="dxa"/>
            <w:tcBorders>
              <w:top w:val="nil"/>
              <w:left w:val="nil"/>
              <w:bottom w:val="nil"/>
              <w:right w:val="nil"/>
            </w:tcBorders>
            <w:shd w:val="clear" w:color="auto" w:fill="auto"/>
            <w:vAlign w:val="center"/>
            <w:hideMark/>
          </w:tcPr>
          <w:p w14:paraId="280BB761"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Financijski rashodi</w:t>
            </w:r>
          </w:p>
        </w:tc>
        <w:tc>
          <w:tcPr>
            <w:tcW w:w="1256" w:type="dxa"/>
            <w:tcBorders>
              <w:top w:val="nil"/>
              <w:left w:val="nil"/>
              <w:bottom w:val="nil"/>
              <w:right w:val="nil"/>
            </w:tcBorders>
            <w:shd w:val="clear" w:color="auto" w:fill="auto"/>
            <w:noWrap/>
            <w:vAlign w:val="center"/>
            <w:hideMark/>
          </w:tcPr>
          <w:p w14:paraId="6486C5B9"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154.625,82</w:t>
            </w:r>
          </w:p>
        </w:tc>
        <w:tc>
          <w:tcPr>
            <w:tcW w:w="1235" w:type="dxa"/>
            <w:tcBorders>
              <w:top w:val="nil"/>
              <w:left w:val="nil"/>
              <w:bottom w:val="nil"/>
              <w:right w:val="nil"/>
            </w:tcBorders>
            <w:shd w:val="clear" w:color="auto" w:fill="auto"/>
            <w:noWrap/>
            <w:vAlign w:val="center"/>
            <w:hideMark/>
          </w:tcPr>
          <w:p w14:paraId="215C40F8"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422.756,52</w:t>
            </w:r>
          </w:p>
        </w:tc>
        <w:tc>
          <w:tcPr>
            <w:tcW w:w="1235" w:type="dxa"/>
            <w:tcBorders>
              <w:top w:val="nil"/>
              <w:left w:val="nil"/>
              <w:bottom w:val="nil"/>
              <w:right w:val="nil"/>
            </w:tcBorders>
            <w:shd w:val="clear" w:color="auto" w:fill="auto"/>
            <w:noWrap/>
            <w:vAlign w:val="center"/>
            <w:hideMark/>
          </w:tcPr>
          <w:p w14:paraId="6B35401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172.935,59</w:t>
            </w:r>
          </w:p>
        </w:tc>
        <w:tc>
          <w:tcPr>
            <w:tcW w:w="807" w:type="dxa"/>
            <w:tcBorders>
              <w:top w:val="nil"/>
              <w:left w:val="nil"/>
              <w:bottom w:val="nil"/>
              <w:right w:val="nil"/>
            </w:tcBorders>
            <w:shd w:val="clear" w:color="auto" w:fill="auto"/>
            <w:noWrap/>
            <w:vAlign w:val="center"/>
            <w:hideMark/>
          </w:tcPr>
          <w:p w14:paraId="74E9601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111,84</w:t>
            </w:r>
          </w:p>
        </w:tc>
        <w:tc>
          <w:tcPr>
            <w:tcW w:w="996" w:type="dxa"/>
            <w:tcBorders>
              <w:top w:val="nil"/>
              <w:left w:val="nil"/>
              <w:bottom w:val="nil"/>
              <w:right w:val="nil"/>
            </w:tcBorders>
            <w:shd w:val="clear" w:color="auto" w:fill="auto"/>
            <w:noWrap/>
            <w:vAlign w:val="center"/>
            <w:hideMark/>
          </w:tcPr>
          <w:p w14:paraId="38183E2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40,91</w:t>
            </w:r>
          </w:p>
        </w:tc>
        <w:tc>
          <w:tcPr>
            <w:tcW w:w="1154" w:type="dxa"/>
            <w:tcBorders>
              <w:top w:val="nil"/>
              <w:left w:val="nil"/>
              <w:bottom w:val="nil"/>
              <w:right w:val="nil"/>
            </w:tcBorders>
            <w:shd w:val="clear" w:color="auto" w:fill="auto"/>
            <w:noWrap/>
            <w:vAlign w:val="center"/>
            <w:hideMark/>
          </w:tcPr>
          <w:p w14:paraId="15162CE0"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64.448,98</w:t>
            </w:r>
          </w:p>
        </w:tc>
        <w:tc>
          <w:tcPr>
            <w:tcW w:w="1279" w:type="dxa"/>
            <w:tcBorders>
              <w:top w:val="nil"/>
              <w:left w:val="nil"/>
              <w:bottom w:val="nil"/>
              <w:right w:val="nil"/>
            </w:tcBorders>
            <w:shd w:val="clear" w:color="auto" w:fill="auto"/>
            <w:noWrap/>
            <w:vAlign w:val="center"/>
            <w:hideMark/>
          </w:tcPr>
          <w:p w14:paraId="0EC44FC4"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108.486,61</w:t>
            </w:r>
          </w:p>
        </w:tc>
      </w:tr>
      <w:tr w:rsidR="00D10805" w:rsidRPr="00A17B6F" w14:paraId="126AB6FF" w14:textId="77777777" w:rsidTr="00BC1CA7">
        <w:trPr>
          <w:trHeight w:val="300"/>
        </w:trPr>
        <w:tc>
          <w:tcPr>
            <w:tcW w:w="947" w:type="dxa"/>
            <w:tcBorders>
              <w:top w:val="nil"/>
              <w:left w:val="nil"/>
              <w:bottom w:val="nil"/>
              <w:right w:val="nil"/>
            </w:tcBorders>
            <w:shd w:val="clear" w:color="auto" w:fill="auto"/>
            <w:noWrap/>
            <w:vAlign w:val="center"/>
            <w:hideMark/>
          </w:tcPr>
          <w:p w14:paraId="2F2EBA48"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35</w:t>
            </w:r>
          </w:p>
        </w:tc>
        <w:tc>
          <w:tcPr>
            <w:tcW w:w="2455" w:type="dxa"/>
            <w:tcBorders>
              <w:top w:val="nil"/>
              <w:left w:val="nil"/>
              <w:bottom w:val="nil"/>
              <w:right w:val="nil"/>
            </w:tcBorders>
            <w:shd w:val="clear" w:color="auto" w:fill="auto"/>
            <w:vAlign w:val="center"/>
            <w:hideMark/>
          </w:tcPr>
          <w:p w14:paraId="2EAD2836"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Subvencije</w:t>
            </w:r>
          </w:p>
        </w:tc>
        <w:tc>
          <w:tcPr>
            <w:tcW w:w="1256" w:type="dxa"/>
            <w:tcBorders>
              <w:top w:val="nil"/>
              <w:left w:val="nil"/>
              <w:bottom w:val="nil"/>
              <w:right w:val="nil"/>
            </w:tcBorders>
            <w:shd w:val="clear" w:color="auto" w:fill="auto"/>
            <w:noWrap/>
            <w:vAlign w:val="center"/>
            <w:hideMark/>
          </w:tcPr>
          <w:p w14:paraId="43EC611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590.077,84</w:t>
            </w:r>
          </w:p>
        </w:tc>
        <w:tc>
          <w:tcPr>
            <w:tcW w:w="1235" w:type="dxa"/>
            <w:tcBorders>
              <w:top w:val="nil"/>
              <w:left w:val="nil"/>
              <w:bottom w:val="nil"/>
              <w:right w:val="nil"/>
            </w:tcBorders>
            <w:shd w:val="clear" w:color="auto" w:fill="auto"/>
            <w:noWrap/>
            <w:vAlign w:val="center"/>
            <w:hideMark/>
          </w:tcPr>
          <w:p w14:paraId="5E561935"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1.960.398,35</w:t>
            </w:r>
          </w:p>
        </w:tc>
        <w:tc>
          <w:tcPr>
            <w:tcW w:w="1235" w:type="dxa"/>
            <w:tcBorders>
              <w:top w:val="nil"/>
              <w:left w:val="nil"/>
              <w:bottom w:val="nil"/>
              <w:right w:val="nil"/>
            </w:tcBorders>
            <w:shd w:val="clear" w:color="auto" w:fill="auto"/>
            <w:noWrap/>
            <w:vAlign w:val="center"/>
            <w:hideMark/>
          </w:tcPr>
          <w:p w14:paraId="2811DC46"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514.134,38</w:t>
            </w:r>
          </w:p>
        </w:tc>
        <w:tc>
          <w:tcPr>
            <w:tcW w:w="807" w:type="dxa"/>
            <w:tcBorders>
              <w:top w:val="nil"/>
              <w:left w:val="nil"/>
              <w:bottom w:val="nil"/>
              <w:right w:val="nil"/>
            </w:tcBorders>
            <w:shd w:val="clear" w:color="auto" w:fill="auto"/>
            <w:noWrap/>
            <w:vAlign w:val="center"/>
            <w:hideMark/>
          </w:tcPr>
          <w:p w14:paraId="503C30F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87,13</w:t>
            </w:r>
          </w:p>
        </w:tc>
        <w:tc>
          <w:tcPr>
            <w:tcW w:w="996" w:type="dxa"/>
            <w:tcBorders>
              <w:top w:val="nil"/>
              <w:left w:val="nil"/>
              <w:bottom w:val="nil"/>
              <w:right w:val="nil"/>
            </w:tcBorders>
            <w:shd w:val="clear" w:color="auto" w:fill="auto"/>
            <w:noWrap/>
            <w:vAlign w:val="center"/>
            <w:hideMark/>
          </w:tcPr>
          <w:p w14:paraId="30301F4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26,23</w:t>
            </w:r>
          </w:p>
        </w:tc>
        <w:tc>
          <w:tcPr>
            <w:tcW w:w="1154" w:type="dxa"/>
            <w:tcBorders>
              <w:top w:val="nil"/>
              <w:left w:val="nil"/>
              <w:bottom w:val="nil"/>
              <w:right w:val="nil"/>
            </w:tcBorders>
            <w:shd w:val="clear" w:color="auto" w:fill="auto"/>
            <w:noWrap/>
            <w:vAlign w:val="center"/>
            <w:hideMark/>
          </w:tcPr>
          <w:p w14:paraId="412D61B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422.845,52</w:t>
            </w:r>
          </w:p>
        </w:tc>
        <w:tc>
          <w:tcPr>
            <w:tcW w:w="1279" w:type="dxa"/>
            <w:tcBorders>
              <w:top w:val="nil"/>
              <w:left w:val="nil"/>
              <w:bottom w:val="nil"/>
              <w:right w:val="nil"/>
            </w:tcBorders>
            <w:shd w:val="clear" w:color="auto" w:fill="auto"/>
            <w:noWrap/>
            <w:vAlign w:val="center"/>
            <w:hideMark/>
          </w:tcPr>
          <w:p w14:paraId="050B027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91.288,86</w:t>
            </w:r>
          </w:p>
        </w:tc>
      </w:tr>
      <w:tr w:rsidR="00D10805" w:rsidRPr="00A17B6F" w14:paraId="6D4E0FC1" w14:textId="77777777" w:rsidTr="00BC1CA7">
        <w:trPr>
          <w:trHeight w:val="480"/>
        </w:trPr>
        <w:tc>
          <w:tcPr>
            <w:tcW w:w="947" w:type="dxa"/>
            <w:tcBorders>
              <w:top w:val="nil"/>
              <w:left w:val="nil"/>
              <w:bottom w:val="nil"/>
              <w:right w:val="nil"/>
            </w:tcBorders>
            <w:shd w:val="clear" w:color="auto" w:fill="auto"/>
            <w:noWrap/>
            <w:vAlign w:val="center"/>
            <w:hideMark/>
          </w:tcPr>
          <w:p w14:paraId="22FB22B7"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36</w:t>
            </w:r>
          </w:p>
        </w:tc>
        <w:tc>
          <w:tcPr>
            <w:tcW w:w="2455" w:type="dxa"/>
            <w:tcBorders>
              <w:top w:val="nil"/>
              <w:left w:val="nil"/>
              <w:bottom w:val="nil"/>
              <w:right w:val="nil"/>
            </w:tcBorders>
            <w:shd w:val="clear" w:color="auto" w:fill="auto"/>
            <w:vAlign w:val="center"/>
            <w:hideMark/>
          </w:tcPr>
          <w:p w14:paraId="176F844D"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Pomoći dane u inozemstvo i unutar općeg proračuna</w:t>
            </w:r>
          </w:p>
        </w:tc>
        <w:tc>
          <w:tcPr>
            <w:tcW w:w="1256" w:type="dxa"/>
            <w:tcBorders>
              <w:top w:val="nil"/>
              <w:left w:val="nil"/>
              <w:bottom w:val="nil"/>
              <w:right w:val="nil"/>
            </w:tcBorders>
            <w:shd w:val="clear" w:color="auto" w:fill="auto"/>
            <w:noWrap/>
            <w:vAlign w:val="center"/>
            <w:hideMark/>
          </w:tcPr>
          <w:p w14:paraId="2C332BD5"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785.104,22</w:t>
            </w:r>
          </w:p>
        </w:tc>
        <w:tc>
          <w:tcPr>
            <w:tcW w:w="1235" w:type="dxa"/>
            <w:tcBorders>
              <w:top w:val="nil"/>
              <w:left w:val="nil"/>
              <w:bottom w:val="nil"/>
              <w:right w:val="nil"/>
            </w:tcBorders>
            <w:shd w:val="clear" w:color="auto" w:fill="auto"/>
            <w:noWrap/>
            <w:vAlign w:val="center"/>
            <w:hideMark/>
          </w:tcPr>
          <w:p w14:paraId="42254426"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8.044.827,03</w:t>
            </w:r>
          </w:p>
        </w:tc>
        <w:tc>
          <w:tcPr>
            <w:tcW w:w="1235" w:type="dxa"/>
            <w:tcBorders>
              <w:top w:val="nil"/>
              <w:left w:val="nil"/>
              <w:bottom w:val="nil"/>
              <w:right w:val="nil"/>
            </w:tcBorders>
            <w:shd w:val="clear" w:color="auto" w:fill="auto"/>
            <w:noWrap/>
            <w:vAlign w:val="center"/>
            <w:hideMark/>
          </w:tcPr>
          <w:p w14:paraId="2AB4415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2.020.465,59</w:t>
            </w:r>
          </w:p>
        </w:tc>
        <w:tc>
          <w:tcPr>
            <w:tcW w:w="807" w:type="dxa"/>
            <w:tcBorders>
              <w:top w:val="nil"/>
              <w:left w:val="nil"/>
              <w:bottom w:val="nil"/>
              <w:right w:val="nil"/>
            </w:tcBorders>
            <w:shd w:val="clear" w:color="auto" w:fill="auto"/>
            <w:noWrap/>
            <w:vAlign w:val="center"/>
            <w:hideMark/>
          </w:tcPr>
          <w:p w14:paraId="603C8BA3"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257,35</w:t>
            </w:r>
          </w:p>
        </w:tc>
        <w:tc>
          <w:tcPr>
            <w:tcW w:w="996" w:type="dxa"/>
            <w:tcBorders>
              <w:top w:val="nil"/>
              <w:left w:val="nil"/>
              <w:bottom w:val="nil"/>
              <w:right w:val="nil"/>
            </w:tcBorders>
            <w:shd w:val="clear" w:color="auto" w:fill="auto"/>
            <w:noWrap/>
            <w:vAlign w:val="center"/>
            <w:hideMark/>
          </w:tcPr>
          <w:p w14:paraId="0DC5D9E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25,12</w:t>
            </w:r>
          </w:p>
        </w:tc>
        <w:tc>
          <w:tcPr>
            <w:tcW w:w="1154" w:type="dxa"/>
            <w:tcBorders>
              <w:top w:val="nil"/>
              <w:left w:val="nil"/>
              <w:bottom w:val="nil"/>
              <w:right w:val="nil"/>
            </w:tcBorders>
            <w:shd w:val="clear" w:color="auto" w:fill="auto"/>
            <w:noWrap/>
            <w:vAlign w:val="center"/>
            <w:hideMark/>
          </w:tcPr>
          <w:p w14:paraId="7A45967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962.662,39</w:t>
            </w:r>
          </w:p>
        </w:tc>
        <w:tc>
          <w:tcPr>
            <w:tcW w:w="1279" w:type="dxa"/>
            <w:tcBorders>
              <w:top w:val="nil"/>
              <w:left w:val="nil"/>
              <w:bottom w:val="nil"/>
              <w:right w:val="nil"/>
            </w:tcBorders>
            <w:shd w:val="clear" w:color="auto" w:fill="auto"/>
            <w:noWrap/>
            <w:vAlign w:val="center"/>
            <w:hideMark/>
          </w:tcPr>
          <w:p w14:paraId="5AAB00E4"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1.057.803,20</w:t>
            </w:r>
          </w:p>
        </w:tc>
      </w:tr>
      <w:tr w:rsidR="00D10805" w:rsidRPr="00A17B6F" w14:paraId="1D02C67B" w14:textId="77777777" w:rsidTr="00BC1CA7">
        <w:trPr>
          <w:trHeight w:val="480"/>
        </w:trPr>
        <w:tc>
          <w:tcPr>
            <w:tcW w:w="947" w:type="dxa"/>
            <w:tcBorders>
              <w:top w:val="nil"/>
              <w:left w:val="nil"/>
              <w:bottom w:val="nil"/>
              <w:right w:val="nil"/>
            </w:tcBorders>
            <w:shd w:val="clear" w:color="auto" w:fill="auto"/>
            <w:noWrap/>
            <w:vAlign w:val="center"/>
            <w:hideMark/>
          </w:tcPr>
          <w:p w14:paraId="66BF52A7"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37</w:t>
            </w:r>
          </w:p>
        </w:tc>
        <w:tc>
          <w:tcPr>
            <w:tcW w:w="2455" w:type="dxa"/>
            <w:tcBorders>
              <w:top w:val="nil"/>
              <w:left w:val="nil"/>
              <w:bottom w:val="nil"/>
              <w:right w:val="nil"/>
            </w:tcBorders>
            <w:shd w:val="clear" w:color="auto" w:fill="auto"/>
            <w:vAlign w:val="center"/>
            <w:hideMark/>
          </w:tcPr>
          <w:p w14:paraId="54D2AE1A"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Naknade građanima i kućanstvima na temelju osiguranja i druge naknade</w:t>
            </w:r>
          </w:p>
        </w:tc>
        <w:tc>
          <w:tcPr>
            <w:tcW w:w="1256" w:type="dxa"/>
            <w:tcBorders>
              <w:top w:val="nil"/>
              <w:left w:val="nil"/>
              <w:bottom w:val="nil"/>
              <w:right w:val="nil"/>
            </w:tcBorders>
            <w:shd w:val="clear" w:color="auto" w:fill="auto"/>
            <w:noWrap/>
            <w:vAlign w:val="center"/>
            <w:hideMark/>
          </w:tcPr>
          <w:p w14:paraId="316E08B1"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607.572,95</w:t>
            </w:r>
          </w:p>
        </w:tc>
        <w:tc>
          <w:tcPr>
            <w:tcW w:w="1235" w:type="dxa"/>
            <w:tcBorders>
              <w:top w:val="nil"/>
              <w:left w:val="nil"/>
              <w:bottom w:val="nil"/>
              <w:right w:val="nil"/>
            </w:tcBorders>
            <w:shd w:val="clear" w:color="auto" w:fill="auto"/>
            <w:noWrap/>
            <w:vAlign w:val="center"/>
            <w:hideMark/>
          </w:tcPr>
          <w:p w14:paraId="655041B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2.524.636,14</w:t>
            </w:r>
          </w:p>
        </w:tc>
        <w:tc>
          <w:tcPr>
            <w:tcW w:w="1235" w:type="dxa"/>
            <w:tcBorders>
              <w:top w:val="nil"/>
              <w:left w:val="nil"/>
              <w:bottom w:val="nil"/>
              <w:right w:val="nil"/>
            </w:tcBorders>
            <w:shd w:val="clear" w:color="auto" w:fill="auto"/>
            <w:noWrap/>
            <w:vAlign w:val="center"/>
            <w:hideMark/>
          </w:tcPr>
          <w:p w14:paraId="52F529DF"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809.254,26</w:t>
            </w:r>
          </w:p>
        </w:tc>
        <w:tc>
          <w:tcPr>
            <w:tcW w:w="807" w:type="dxa"/>
            <w:tcBorders>
              <w:top w:val="nil"/>
              <w:left w:val="nil"/>
              <w:bottom w:val="nil"/>
              <w:right w:val="nil"/>
            </w:tcBorders>
            <w:shd w:val="clear" w:color="auto" w:fill="auto"/>
            <w:noWrap/>
            <w:vAlign w:val="center"/>
            <w:hideMark/>
          </w:tcPr>
          <w:p w14:paraId="2254328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133,19</w:t>
            </w:r>
          </w:p>
        </w:tc>
        <w:tc>
          <w:tcPr>
            <w:tcW w:w="996" w:type="dxa"/>
            <w:tcBorders>
              <w:top w:val="nil"/>
              <w:left w:val="nil"/>
              <w:bottom w:val="nil"/>
              <w:right w:val="nil"/>
            </w:tcBorders>
            <w:shd w:val="clear" w:color="auto" w:fill="auto"/>
            <w:noWrap/>
            <w:vAlign w:val="center"/>
            <w:hideMark/>
          </w:tcPr>
          <w:p w14:paraId="1323D2D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32,05</w:t>
            </w:r>
          </w:p>
        </w:tc>
        <w:tc>
          <w:tcPr>
            <w:tcW w:w="1154" w:type="dxa"/>
            <w:tcBorders>
              <w:top w:val="nil"/>
              <w:left w:val="nil"/>
              <w:bottom w:val="nil"/>
              <w:right w:val="nil"/>
            </w:tcBorders>
            <w:shd w:val="clear" w:color="auto" w:fill="auto"/>
            <w:noWrap/>
            <w:vAlign w:val="center"/>
            <w:hideMark/>
          </w:tcPr>
          <w:p w14:paraId="605D565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743.216,86</w:t>
            </w:r>
          </w:p>
        </w:tc>
        <w:tc>
          <w:tcPr>
            <w:tcW w:w="1279" w:type="dxa"/>
            <w:tcBorders>
              <w:top w:val="nil"/>
              <w:left w:val="nil"/>
              <w:bottom w:val="nil"/>
              <w:right w:val="nil"/>
            </w:tcBorders>
            <w:shd w:val="clear" w:color="auto" w:fill="auto"/>
            <w:noWrap/>
            <w:vAlign w:val="center"/>
            <w:hideMark/>
          </w:tcPr>
          <w:p w14:paraId="77C6B460"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66.037,40</w:t>
            </w:r>
          </w:p>
        </w:tc>
      </w:tr>
      <w:tr w:rsidR="00D10805" w:rsidRPr="00A17B6F" w14:paraId="4FDFF277" w14:textId="77777777" w:rsidTr="00BC1CA7">
        <w:trPr>
          <w:trHeight w:val="315"/>
        </w:trPr>
        <w:tc>
          <w:tcPr>
            <w:tcW w:w="947" w:type="dxa"/>
            <w:tcBorders>
              <w:top w:val="nil"/>
              <w:left w:val="nil"/>
              <w:bottom w:val="nil"/>
              <w:right w:val="nil"/>
            </w:tcBorders>
            <w:shd w:val="clear" w:color="auto" w:fill="auto"/>
            <w:noWrap/>
            <w:vAlign w:val="center"/>
            <w:hideMark/>
          </w:tcPr>
          <w:p w14:paraId="0E851D0D"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38</w:t>
            </w:r>
          </w:p>
        </w:tc>
        <w:tc>
          <w:tcPr>
            <w:tcW w:w="2455" w:type="dxa"/>
            <w:tcBorders>
              <w:top w:val="nil"/>
              <w:left w:val="nil"/>
              <w:bottom w:val="nil"/>
              <w:right w:val="nil"/>
            </w:tcBorders>
            <w:shd w:val="clear" w:color="auto" w:fill="auto"/>
            <w:vAlign w:val="center"/>
            <w:hideMark/>
          </w:tcPr>
          <w:p w14:paraId="23B83053"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Ostali rashodi (donacije…)</w:t>
            </w:r>
          </w:p>
        </w:tc>
        <w:tc>
          <w:tcPr>
            <w:tcW w:w="1256" w:type="dxa"/>
            <w:tcBorders>
              <w:top w:val="nil"/>
              <w:left w:val="nil"/>
              <w:bottom w:val="nil"/>
              <w:right w:val="nil"/>
            </w:tcBorders>
            <w:shd w:val="clear" w:color="auto" w:fill="auto"/>
            <w:noWrap/>
            <w:vAlign w:val="center"/>
            <w:hideMark/>
          </w:tcPr>
          <w:p w14:paraId="6C22A74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2.771.728,33</w:t>
            </w:r>
          </w:p>
        </w:tc>
        <w:tc>
          <w:tcPr>
            <w:tcW w:w="1235" w:type="dxa"/>
            <w:tcBorders>
              <w:top w:val="nil"/>
              <w:left w:val="nil"/>
              <w:bottom w:val="nil"/>
              <w:right w:val="nil"/>
            </w:tcBorders>
            <w:shd w:val="clear" w:color="auto" w:fill="auto"/>
            <w:noWrap/>
            <w:vAlign w:val="center"/>
            <w:hideMark/>
          </w:tcPr>
          <w:p w14:paraId="08777748"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11.968.623,82</w:t>
            </w:r>
          </w:p>
        </w:tc>
        <w:tc>
          <w:tcPr>
            <w:tcW w:w="1235" w:type="dxa"/>
            <w:tcBorders>
              <w:top w:val="nil"/>
              <w:left w:val="nil"/>
              <w:bottom w:val="nil"/>
              <w:right w:val="nil"/>
            </w:tcBorders>
            <w:shd w:val="clear" w:color="auto" w:fill="auto"/>
            <w:noWrap/>
            <w:vAlign w:val="center"/>
            <w:hideMark/>
          </w:tcPr>
          <w:p w14:paraId="6A27B2A3"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4.199.988,31</w:t>
            </w:r>
          </w:p>
        </w:tc>
        <w:tc>
          <w:tcPr>
            <w:tcW w:w="807" w:type="dxa"/>
            <w:tcBorders>
              <w:top w:val="nil"/>
              <w:left w:val="nil"/>
              <w:bottom w:val="nil"/>
              <w:right w:val="nil"/>
            </w:tcBorders>
            <w:shd w:val="clear" w:color="auto" w:fill="auto"/>
            <w:noWrap/>
            <w:vAlign w:val="center"/>
            <w:hideMark/>
          </w:tcPr>
          <w:p w14:paraId="0FFCFADF"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151,53</w:t>
            </w:r>
          </w:p>
        </w:tc>
        <w:tc>
          <w:tcPr>
            <w:tcW w:w="996" w:type="dxa"/>
            <w:tcBorders>
              <w:top w:val="nil"/>
              <w:left w:val="nil"/>
              <w:bottom w:val="nil"/>
              <w:right w:val="nil"/>
            </w:tcBorders>
            <w:shd w:val="clear" w:color="auto" w:fill="auto"/>
            <w:noWrap/>
            <w:vAlign w:val="center"/>
            <w:hideMark/>
          </w:tcPr>
          <w:p w14:paraId="773106D0"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35,09</w:t>
            </w:r>
          </w:p>
        </w:tc>
        <w:tc>
          <w:tcPr>
            <w:tcW w:w="1154" w:type="dxa"/>
            <w:tcBorders>
              <w:top w:val="nil"/>
              <w:left w:val="nil"/>
              <w:bottom w:val="nil"/>
              <w:right w:val="nil"/>
            </w:tcBorders>
            <w:shd w:val="clear" w:color="auto" w:fill="auto"/>
            <w:noWrap/>
            <w:vAlign w:val="center"/>
            <w:hideMark/>
          </w:tcPr>
          <w:p w14:paraId="2EDF568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4.170.690,31</w:t>
            </w:r>
          </w:p>
        </w:tc>
        <w:tc>
          <w:tcPr>
            <w:tcW w:w="1279" w:type="dxa"/>
            <w:tcBorders>
              <w:top w:val="nil"/>
              <w:left w:val="nil"/>
              <w:bottom w:val="nil"/>
              <w:right w:val="nil"/>
            </w:tcBorders>
            <w:shd w:val="clear" w:color="auto" w:fill="auto"/>
            <w:noWrap/>
            <w:vAlign w:val="center"/>
            <w:hideMark/>
          </w:tcPr>
          <w:p w14:paraId="4907EB70"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29.298,00</w:t>
            </w:r>
          </w:p>
        </w:tc>
      </w:tr>
      <w:tr w:rsidR="00D10805" w:rsidRPr="00A17B6F" w14:paraId="62D3EDCA" w14:textId="77777777" w:rsidTr="00BC1CA7">
        <w:trPr>
          <w:trHeight w:val="495"/>
        </w:trPr>
        <w:tc>
          <w:tcPr>
            <w:tcW w:w="947" w:type="dxa"/>
            <w:tcBorders>
              <w:top w:val="single" w:sz="8" w:space="0" w:color="auto"/>
              <w:left w:val="nil"/>
              <w:bottom w:val="single" w:sz="8" w:space="0" w:color="auto"/>
              <w:right w:val="nil"/>
            </w:tcBorders>
            <w:shd w:val="clear" w:color="000000" w:fill="F2F2F2"/>
            <w:noWrap/>
            <w:vAlign w:val="center"/>
            <w:hideMark/>
          </w:tcPr>
          <w:p w14:paraId="5D65A3B5"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w:t>
            </w:r>
          </w:p>
        </w:tc>
        <w:tc>
          <w:tcPr>
            <w:tcW w:w="2455" w:type="dxa"/>
            <w:tcBorders>
              <w:top w:val="single" w:sz="8" w:space="0" w:color="auto"/>
              <w:left w:val="nil"/>
              <w:bottom w:val="single" w:sz="8" w:space="0" w:color="auto"/>
              <w:right w:val="nil"/>
            </w:tcBorders>
            <w:shd w:val="clear" w:color="000000" w:fill="F2F2F2"/>
            <w:vAlign w:val="center"/>
            <w:hideMark/>
          </w:tcPr>
          <w:p w14:paraId="1F4646D9"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RASHODI ZA NABAVU NEFINANCIJSKE IMOVINE</w:t>
            </w:r>
          </w:p>
        </w:tc>
        <w:tc>
          <w:tcPr>
            <w:tcW w:w="1256" w:type="dxa"/>
            <w:tcBorders>
              <w:top w:val="single" w:sz="8" w:space="0" w:color="auto"/>
              <w:left w:val="nil"/>
              <w:bottom w:val="single" w:sz="8" w:space="0" w:color="auto"/>
              <w:right w:val="nil"/>
            </w:tcBorders>
            <w:shd w:val="clear" w:color="000000" w:fill="F2F2F2"/>
            <w:noWrap/>
            <w:vAlign w:val="center"/>
            <w:hideMark/>
          </w:tcPr>
          <w:p w14:paraId="6618C27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3.382.302,32</w:t>
            </w:r>
          </w:p>
        </w:tc>
        <w:tc>
          <w:tcPr>
            <w:tcW w:w="1235" w:type="dxa"/>
            <w:tcBorders>
              <w:top w:val="single" w:sz="8" w:space="0" w:color="auto"/>
              <w:left w:val="nil"/>
              <w:bottom w:val="single" w:sz="8" w:space="0" w:color="auto"/>
              <w:right w:val="nil"/>
            </w:tcBorders>
            <w:shd w:val="clear" w:color="000000" w:fill="F2F2F2"/>
            <w:noWrap/>
            <w:vAlign w:val="center"/>
            <w:hideMark/>
          </w:tcPr>
          <w:p w14:paraId="5EE9C5BE"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26.689.509,47</w:t>
            </w:r>
          </w:p>
        </w:tc>
        <w:tc>
          <w:tcPr>
            <w:tcW w:w="1235" w:type="dxa"/>
            <w:tcBorders>
              <w:top w:val="single" w:sz="8" w:space="0" w:color="auto"/>
              <w:left w:val="nil"/>
              <w:bottom w:val="single" w:sz="8" w:space="0" w:color="auto"/>
              <w:right w:val="nil"/>
            </w:tcBorders>
            <w:shd w:val="clear" w:color="000000" w:fill="F2F2F2"/>
            <w:noWrap/>
            <w:vAlign w:val="center"/>
            <w:hideMark/>
          </w:tcPr>
          <w:p w14:paraId="4953FACA"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1.655.883,51</w:t>
            </w:r>
          </w:p>
        </w:tc>
        <w:tc>
          <w:tcPr>
            <w:tcW w:w="807" w:type="dxa"/>
            <w:tcBorders>
              <w:top w:val="single" w:sz="8" w:space="0" w:color="auto"/>
              <w:left w:val="nil"/>
              <w:bottom w:val="single" w:sz="8" w:space="0" w:color="auto"/>
              <w:right w:val="nil"/>
            </w:tcBorders>
            <w:shd w:val="clear" w:color="000000" w:fill="F2F2F2"/>
            <w:noWrap/>
            <w:vAlign w:val="center"/>
            <w:hideMark/>
          </w:tcPr>
          <w:p w14:paraId="35C8FF6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48,96</w:t>
            </w:r>
          </w:p>
        </w:tc>
        <w:tc>
          <w:tcPr>
            <w:tcW w:w="996" w:type="dxa"/>
            <w:tcBorders>
              <w:top w:val="single" w:sz="8" w:space="0" w:color="auto"/>
              <w:left w:val="nil"/>
              <w:bottom w:val="single" w:sz="8" w:space="0" w:color="auto"/>
              <w:right w:val="nil"/>
            </w:tcBorders>
            <w:shd w:val="clear" w:color="000000" w:fill="F2F2F2"/>
            <w:noWrap/>
            <w:vAlign w:val="center"/>
            <w:hideMark/>
          </w:tcPr>
          <w:p w14:paraId="7AFA30EF"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6,20</w:t>
            </w:r>
          </w:p>
        </w:tc>
        <w:tc>
          <w:tcPr>
            <w:tcW w:w="1154" w:type="dxa"/>
            <w:tcBorders>
              <w:top w:val="single" w:sz="8" w:space="0" w:color="auto"/>
              <w:left w:val="nil"/>
              <w:bottom w:val="single" w:sz="8" w:space="0" w:color="auto"/>
              <w:right w:val="nil"/>
            </w:tcBorders>
            <w:shd w:val="clear" w:color="000000" w:fill="F2F2F2"/>
            <w:noWrap/>
            <w:vAlign w:val="center"/>
            <w:hideMark/>
          </w:tcPr>
          <w:p w14:paraId="6B3434F6"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689.913,10</w:t>
            </w:r>
          </w:p>
        </w:tc>
        <w:tc>
          <w:tcPr>
            <w:tcW w:w="1279" w:type="dxa"/>
            <w:tcBorders>
              <w:top w:val="single" w:sz="8" w:space="0" w:color="auto"/>
              <w:left w:val="nil"/>
              <w:bottom w:val="single" w:sz="8" w:space="0" w:color="auto"/>
              <w:right w:val="nil"/>
            </w:tcBorders>
            <w:shd w:val="clear" w:color="000000" w:fill="F2F2F2"/>
            <w:noWrap/>
            <w:vAlign w:val="center"/>
            <w:hideMark/>
          </w:tcPr>
          <w:p w14:paraId="4CE0B030"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965.970,41</w:t>
            </w:r>
          </w:p>
        </w:tc>
      </w:tr>
      <w:tr w:rsidR="00D10805" w:rsidRPr="00A17B6F" w14:paraId="4B36D7C6" w14:textId="77777777" w:rsidTr="00BC1CA7">
        <w:trPr>
          <w:trHeight w:val="480"/>
        </w:trPr>
        <w:tc>
          <w:tcPr>
            <w:tcW w:w="947" w:type="dxa"/>
            <w:tcBorders>
              <w:top w:val="nil"/>
              <w:left w:val="nil"/>
              <w:bottom w:val="nil"/>
              <w:right w:val="nil"/>
            </w:tcBorders>
            <w:shd w:val="clear" w:color="auto" w:fill="auto"/>
            <w:noWrap/>
            <w:vAlign w:val="center"/>
            <w:hideMark/>
          </w:tcPr>
          <w:p w14:paraId="77563BBE"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41</w:t>
            </w:r>
          </w:p>
        </w:tc>
        <w:tc>
          <w:tcPr>
            <w:tcW w:w="2455" w:type="dxa"/>
            <w:tcBorders>
              <w:top w:val="nil"/>
              <w:left w:val="nil"/>
              <w:bottom w:val="nil"/>
              <w:right w:val="nil"/>
            </w:tcBorders>
            <w:shd w:val="clear" w:color="auto" w:fill="auto"/>
            <w:vAlign w:val="center"/>
            <w:hideMark/>
          </w:tcPr>
          <w:p w14:paraId="423ECE4D"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 xml:space="preserve">Rashodi za nabavu </w:t>
            </w:r>
            <w:proofErr w:type="spellStart"/>
            <w:r w:rsidRPr="00A17B6F">
              <w:rPr>
                <w:rFonts w:ascii="Calibri" w:eastAsia="Times New Roman" w:hAnsi="Calibri" w:cs="Calibri"/>
                <w:color w:val="000000"/>
                <w:sz w:val="16"/>
                <w:szCs w:val="16"/>
                <w:lang w:eastAsia="hr-HR"/>
              </w:rPr>
              <w:t>neproizvedene</w:t>
            </w:r>
            <w:proofErr w:type="spellEnd"/>
            <w:r w:rsidRPr="00A17B6F">
              <w:rPr>
                <w:rFonts w:ascii="Calibri" w:eastAsia="Times New Roman" w:hAnsi="Calibri" w:cs="Calibri"/>
                <w:color w:val="000000"/>
                <w:sz w:val="16"/>
                <w:szCs w:val="16"/>
                <w:lang w:eastAsia="hr-HR"/>
              </w:rPr>
              <w:t xml:space="preserve"> dugotrajne imovine</w:t>
            </w:r>
          </w:p>
        </w:tc>
        <w:tc>
          <w:tcPr>
            <w:tcW w:w="1256" w:type="dxa"/>
            <w:tcBorders>
              <w:top w:val="nil"/>
              <w:left w:val="nil"/>
              <w:bottom w:val="nil"/>
              <w:right w:val="nil"/>
            </w:tcBorders>
            <w:shd w:val="clear" w:color="auto" w:fill="auto"/>
            <w:noWrap/>
            <w:vAlign w:val="center"/>
            <w:hideMark/>
          </w:tcPr>
          <w:p w14:paraId="7E7D378F"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78.276,76</w:t>
            </w:r>
          </w:p>
        </w:tc>
        <w:tc>
          <w:tcPr>
            <w:tcW w:w="1235" w:type="dxa"/>
            <w:tcBorders>
              <w:top w:val="nil"/>
              <w:left w:val="nil"/>
              <w:bottom w:val="nil"/>
              <w:right w:val="nil"/>
            </w:tcBorders>
            <w:shd w:val="clear" w:color="auto" w:fill="auto"/>
            <w:noWrap/>
            <w:vAlign w:val="center"/>
            <w:hideMark/>
          </w:tcPr>
          <w:p w14:paraId="24C9761E"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362.127,10</w:t>
            </w:r>
          </w:p>
        </w:tc>
        <w:tc>
          <w:tcPr>
            <w:tcW w:w="1235" w:type="dxa"/>
            <w:tcBorders>
              <w:top w:val="nil"/>
              <w:left w:val="nil"/>
              <w:bottom w:val="nil"/>
              <w:right w:val="nil"/>
            </w:tcBorders>
            <w:shd w:val="clear" w:color="auto" w:fill="auto"/>
            <w:noWrap/>
            <w:vAlign w:val="center"/>
            <w:hideMark/>
          </w:tcPr>
          <w:p w14:paraId="5FC5187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25.712,24</w:t>
            </w:r>
          </w:p>
        </w:tc>
        <w:tc>
          <w:tcPr>
            <w:tcW w:w="807" w:type="dxa"/>
            <w:tcBorders>
              <w:top w:val="nil"/>
              <w:left w:val="nil"/>
              <w:bottom w:val="nil"/>
              <w:right w:val="nil"/>
            </w:tcBorders>
            <w:shd w:val="clear" w:color="auto" w:fill="auto"/>
            <w:noWrap/>
            <w:vAlign w:val="center"/>
            <w:hideMark/>
          </w:tcPr>
          <w:p w14:paraId="27487695"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32,85</w:t>
            </w:r>
          </w:p>
        </w:tc>
        <w:tc>
          <w:tcPr>
            <w:tcW w:w="996" w:type="dxa"/>
            <w:tcBorders>
              <w:top w:val="nil"/>
              <w:left w:val="nil"/>
              <w:bottom w:val="nil"/>
              <w:right w:val="nil"/>
            </w:tcBorders>
            <w:shd w:val="clear" w:color="auto" w:fill="auto"/>
            <w:noWrap/>
            <w:vAlign w:val="center"/>
            <w:hideMark/>
          </w:tcPr>
          <w:p w14:paraId="21F9F471"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7,10</w:t>
            </w:r>
          </w:p>
        </w:tc>
        <w:tc>
          <w:tcPr>
            <w:tcW w:w="1154" w:type="dxa"/>
            <w:tcBorders>
              <w:top w:val="nil"/>
              <w:left w:val="nil"/>
              <w:bottom w:val="nil"/>
              <w:right w:val="nil"/>
            </w:tcBorders>
            <w:shd w:val="clear" w:color="auto" w:fill="auto"/>
            <w:noWrap/>
            <w:vAlign w:val="center"/>
            <w:hideMark/>
          </w:tcPr>
          <w:p w14:paraId="0D236361"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18.114,70</w:t>
            </w:r>
          </w:p>
        </w:tc>
        <w:tc>
          <w:tcPr>
            <w:tcW w:w="1279" w:type="dxa"/>
            <w:tcBorders>
              <w:top w:val="nil"/>
              <w:left w:val="nil"/>
              <w:bottom w:val="nil"/>
              <w:right w:val="nil"/>
            </w:tcBorders>
            <w:shd w:val="clear" w:color="auto" w:fill="auto"/>
            <w:noWrap/>
            <w:vAlign w:val="center"/>
            <w:hideMark/>
          </w:tcPr>
          <w:p w14:paraId="21A828ED"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7.597,54</w:t>
            </w:r>
          </w:p>
        </w:tc>
      </w:tr>
      <w:tr w:rsidR="00D10805" w:rsidRPr="00A17B6F" w14:paraId="7EA56B6D" w14:textId="77777777" w:rsidTr="00BC1CA7">
        <w:trPr>
          <w:trHeight w:val="480"/>
        </w:trPr>
        <w:tc>
          <w:tcPr>
            <w:tcW w:w="947" w:type="dxa"/>
            <w:tcBorders>
              <w:top w:val="nil"/>
              <w:left w:val="nil"/>
              <w:bottom w:val="nil"/>
              <w:right w:val="nil"/>
            </w:tcBorders>
            <w:shd w:val="clear" w:color="auto" w:fill="auto"/>
            <w:noWrap/>
            <w:vAlign w:val="center"/>
            <w:hideMark/>
          </w:tcPr>
          <w:p w14:paraId="1200B24E"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42</w:t>
            </w:r>
          </w:p>
        </w:tc>
        <w:tc>
          <w:tcPr>
            <w:tcW w:w="2455" w:type="dxa"/>
            <w:tcBorders>
              <w:top w:val="nil"/>
              <w:left w:val="nil"/>
              <w:bottom w:val="nil"/>
              <w:right w:val="nil"/>
            </w:tcBorders>
            <w:shd w:val="clear" w:color="auto" w:fill="auto"/>
            <w:vAlign w:val="center"/>
            <w:hideMark/>
          </w:tcPr>
          <w:p w14:paraId="3FC518FA"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Rashodi za nabavu proizvedene dugotrajne imovine</w:t>
            </w:r>
          </w:p>
        </w:tc>
        <w:tc>
          <w:tcPr>
            <w:tcW w:w="1256" w:type="dxa"/>
            <w:tcBorders>
              <w:top w:val="nil"/>
              <w:left w:val="nil"/>
              <w:bottom w:val="nil"/>
              <w:right w:val="nil"/>
            </w:tcBorders>
            <w:shd w:val="clear" w:color="auto" w:fill="auto"/>
            <w:noWrap/>
            <w:vAlign w:val="center"/>
            <w:hideMark/>
          </w:tcPr>
          <w:p w14:paraId="075C02F8"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1.744.163,17</w:t>
            </w:r>
          </w:p>
        </w:tc>
        <w:tc>
          <w:tcPr>
            <w:tcW w:w="1235" w:type="dxa"/>
            <w:tcBorders>
              <w:top w:val="nil"/>
              <w:left w:val="nil"/>
              <w:bottom w:val="nil"/>
              <w:right w:val="nil"/>
            </w:tcBorders>
            <w:shd w:val="clear" w:color="auto" w:fill="auto"/>
            <w:noWrap/>
            <w:vAlign w:val="center"/>
            <w:hideMark/>
          </w:tcPr>
          <w:p w14:paraId="6FEA96E4"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14.776.395,94</w:t>
            </w:r>
          </w:p>
        </w:tc>
        <w:tc>
          <w:tcPr>
            <w:tcW w:w="1235" w:type="dxa"/>
            <w:tcBorders>
              <w:top w:val="nil"/>
              <w:left w:val="nil"/>
              <w:bottom w:val="nil"/>
              <w:right w:val="nil"/>
            </w:tcBorders>
            <w:shd w:val="clear" w:color="auto" w:fill="auto"/>
            <w:noWrap/>
            <w:vAlign w:val="center"/>
            <w:hideMark/>
          </w:tcPr>
          <w:p w14:paraId="15ABAEE1"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1.316.162,51</w:t>
            </w:r>
          </w:p>
        </w:tc>
        <w:tc>
          <w:tcPr>
            <w:tcW w:w="807" w:type="dxa"/>
            <w:tcBorders>
              <w:top w:val="nil"/>
              <w:left w:val="nil"/>
              <w:bottom w:val="nil"/>
              <w:right w:val="nil"/>
            </w:tcBorders>
            <w:shd w:val="clear" w:color="auto" w:fill="auto"/>
            <w:noWrap/>
            <w:vAlign w:val="center"/>
            <w:hideMark/>
          </w:tcPr>
          <w:p w14:paraId="76609F90"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75,46</w:t>
            </w:r>
          </w:p>
        </w:tc>
        <w:tc>
          <w:tcPr>
            <w:tcW w:w="996" w:type="dxa"/>
            <w:tcBorders>
              <w:top w:val="nil"/>
              <w:left w:val="nil"/>
              <w:bottom w:val="nil"/>
              <w:right w:val="nil"/>
            </w:tcBorders>
            <w:shd w:val="clear" w:color="auto" w:fill="auto"/>
            <w:noWrap/>
            <w:vAlign w:val="center"/>
            <w:hideMark/>
          </w:tcPr>
          <w:p w14:paraId="73D64F7F"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8,91</w:t>
            </w:r>
          </w:p>
        </w:tc>
        <w:tc>
          <w:tcPr>
            <w:tcW w:w="1154" w:type="dxa"/>
            <w:tcBorders>
              <w:top w:val="nil"/>
              <w:left w:val="nil"/>
              <w:bottom w:val="nil"/>
              <w:right w:val="nil"/>
            </w:tcBorders>
            <w:shd w:val="clear" w:color="auto" w:fill="auto"/>
            <w:noWrap/>
            <w:vAlign w:val="center"/>
            <w:hideMark/>
          </w:tcPr>
          <w:p w14:paraId="7FB4A276"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419.604,71</w:t>
            </w:r>
          </w:p>
        </w:tc>
        <w:tc>
          <w:tcPr>
            <w:tcW w:w="1279" w:type="dxa"/>
            <w:tcBorders>
              <w:top w:val="nil"/>
              <w:left w:val="nil"/>
              <w:bottom w:val="nil"/>
              <w:right w:val="nil"/>
            </w:tcBorders>
            <w:shd w:val="clear" w:color="auto" w:fill="auto"/>
            <w:noWrap/>
            <w:vAlign w:val="center"/>
            <w:hideMark/>
          </w:tcPr>
          <w:p w14:paraId="4FC9754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896.557,80</w:t>
            </w:r>
          </w:p>
        </w:tc>
      </w:tr>
      <w:tr w:rsidR="00D10805" w:rsidRPr="00A17B6F" w14:paraId="722A21CB" w14:textId="77777777" w:rsidTr="00BC1CA7">
        <w:trPr>
          <w:trHeight w:val="480"/>
        </w:trPr>
        <w:tc>
          <w:tcPr>
            <w:tcW w:w="947" w:type="dxa"/>
            <w:tcBorders>
              <w:top w:val="nil"/>
              <w:left w:val="nil"/>
              <w:bottom w:val="nil"/>
              <w:right w:val="nil"/>
            </w:tcBorders>
            <w:shd w:val="clear" w:color="auto" w:fill="auto"/>
            <w:noWrap/>
            <w:vAlign w:val="center"/>
            <w:hideMark/>
          </w:tcPr>
          <w:p w14:paraId="2B1722BE"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43</w:t>
            </w:r>
          </w:p>
        </w:tc>
        <w:tc>
          <w:tcPr>
            <w:tcW w:w="2455" w:type="dxa"/>
            <w:tcBorders>
              <w:top w:val="nil"/>
              <w:left w:val="nil"/>
              <w:bottom w:val="nil"/>
              <w:right w:val="nil"/>
            </w:tcBorders>
            <w:shd w:val="clear" w:color="auto" w:fill="auto"/>
            <w:vAlign w:val="center"/>
            <w:hideMark/>
          </w:tcPr>
          <w:p w14:paraId="319CAD77"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Rashodi za nabavu plemenitih metala i ostalih pohranjenih vrijednosti</w:t>
            </w:r>
          </w:p>
        </w:tc>
        <w:tc>
          <w:tcPr>
            <w:tcW w:w="1256" w:type="dxa"/>
            <w:tcBorders>
              <w:top w:val="nil"/>
              <w:left w:val="nil"/>
              <w:bottom w:val="nil"/>
              <w:right w:val="nil"/>
            </w:tcBorders>
            <w:shd w:val="clear" w:color="auto" w:fill="auto"/>
            <w:noWrap/>
            <w:vAlign w:val="center"/>
            <w:hideMark/>
          </w:tcPr>
          <w:p w14:paraId="62B76AE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14.655,75</w:t>
            </w:r>
          </w:p>
        </w:tc>
        <w:tc>
          <w:tcPr>
            <w:tcW w:w="1235" w:type="dxa"/>
            <w:tcBorders>
              <w:top w:val="nil"/>
              <w:left w:val="nil"/>
              <w:bottom w:val="nil"/>
              <w:right w:val="nil"/>
            </w:tcBorders>
            <w:shd w:val="clear" w:color="auto" w:fill="auto"/>
            <w:noWrap/>
            <w:vAlign w:val="center"/>
            <w:hideMark/>
          </w:tcPr>
          <w:p w14:paraId="318DBE85"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11.660,00</w:t>
            </w:r>
          </w:p>
        </w:tc>
        <w:tc>
          <w:tcPr>
            <w:tcW w:w="1235" w:type="dxa"/>
            <w:tcBorders>
              <w:top w:val="nil"/>
              <w:left w:val="nil"/>
              <w:bottom w:val="nil"/>
              <w:right w:val="nil"/>
            </w:tcBorders>
            <w:shd w:val="clear" w:color="auto" w:fill="auto"/>
            <w:noWrap/>
            <w:vAlign w:val="center"/>
            <w:hideMark/>
          </w:tcPr>
          <w:p w14:paraId="25D2C58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2.001,85</w:t>
            </w:r>
          </w:p>
        </w:tc>
        <w:tc>
          <w:tcPr>
            <w:tcW w:w="807" w:type="dxa"/>
            <w:tcBorders>
              <w:top w:val="nil"/>
              <w:left w:val="nil"/>
              <w:bottom w:val="nil"/>
              <w:right w:val="nil"/>
            </w:tcBorders>
            <w:shd w:val="clear" w:color="auto" w:fill="auto"/>
            <w:noWrap/>
            <w:vAlign w:val="center"/>
            <w:hideMark/>
          </w:tcPr>
          <w:p w14:paraId="21F11514"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13,66</w:t>
            </w:r>
          </w:p>
        </w:tc>
        <w:tc>
          <w:tcPr>
            <w:tcW w:w="996" w:type="dxa"/>
            <w:tcBorders>
              <w:top w:val="nil"/>
              <w:left w:val="nil"/>
              <w:bottom w:val="nil"/>
              <w:right w:val="nil"/>
            </w:tcBorders>
            <w:shd w:val="clear" w:color="auto" w:fill="auto"/>
            <w:noWrap/>
            <w:vAlign w:val="center"/>
            <w:hideMark/>
          </w:tcPr>
          <w:p w14:paraId="38C260D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17,17</w:t>
            </w:r>
          </w:p>
        </w:tc>
        <w:tc>
          <w:tcPr>
            <w:tcW w:w="1154" w:type="dxa"/>
            <w:tcBorders>
              <w:top w:val="nil"/>
              <w:left w:val="nil"/>
              <w:bottom w:val="nil"/>
              <w:right w:val="nil"/>
            </w:tcBorders>
            <w:shd w:val="clear" w:color="auto" w:fill="auto"/>
            <w:noWrap/>
            <w:vAlign w:val="center"/>
            <w:hideMark/>
          </w:tcPr>
          <w:p w14:paraId="140A7B11"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1.156,85</w:t>
            </w:r>
          </w:p>
        </w:tc>
        <w:tc>
          <w:tcPr>
            <w:tcW w:w="1279" w:type="dxa"/>
            <w:tcBorders>
              <w:top w:val="nil"/>
              <w:left w:val="nil"/>
              <w:bottom w:val="nil"/>
              <w:right w:val="nil"/>
            </w:tcBorders>
            <w:shd w:val="clear" w:color="auto" w:fill="auto"/>
            <w:noWrap/>
            <w:vAlign w:val="center"/>
            <w:hideMark/>
          </w:tcPr>
          <w:p w14:paraId="711FF5E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845,00</w:t>
            </w:r>
          </w:p>
        </w:tc>
      </w:tr>
      <w:tr w:rsidR="00D10805" w:rsidRPr="00A17B6F" w14:paraId="1F2F088A" w14:textId="77777777" w:rsidTr="00BC1CA7">
        <w:trPr>
          <w:trHeight w:val="495"/>
        </w:trPr>
        <w:tc>
          <w:tcPr>
            <w:tcW w:w="947" w:type="dxa"/>
            <w:tcBorders>
              <w:top w:val="nil"/>
              <w:left w:val="nil"/>
              <w:bottom w:val="nil"/>
              <w:right w:val="nil"/>
            </w:tcBorders>
            <w:shd w:val="clear" w:color="auto" w:fill="auto"/>
            <w:noWrap/>
            <w:vAlign w:val="center"/>
            <w:hideMark/>
          </w:tcPr>
          <w:p w14:paraId="555F5877"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45</w:t>
            </w:r>
          </w:p>
        </w:tc>
        <w:tc>
          <w:tcPr>
            <w:tcW w:w="2455" w:type="dxa"/>
            <w:tcBorders>
              <w:top w:val="nil"/>
              <w:left w:val="nil"/>
              <w:bottom w:val="nil"/>
              <w:right w:val="nil"/>
            </w:tcBorders>
            <w:shd w:val="clear" w:color="auto" w:fill="auto"/>
            <w:vAlign w:val="center"/>
            <w:hideMark/>
          </w:tcPr>
          <w:p w14:paraId="45D1A07A"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Rashodi za dodatna ulaganja na nefinancijskoj imovini</w:t>
            </w:r>
          </w:p>
        </w:tc>
        <w:tc>
          <w:tcPr>
            <w:tcW w:w="1256" w:type="dxa"/>
            <w:tcBorders>
              <w:top w:val="nil"/>
              <w:left w:val="nil"/>
              <w:bottom w:val="nil"/>
              <w:right w:val="nil"/>
            </w:tcBorders>
            <w:shd w:val="clear" w:color="auto" w:fill="auto"/>
            <w:noWrap/>
            <w:vAlign w:val="center"/>
            <w:hideMark/>
          </w:tcPr>
          <w:p w14:paraId="16063A98"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1.545.206,64</w:t>
            </w:r>
          </w:p>
        </w:tc>
        <w:tc>
          <w:tcPr>
            <w:tcW w:w="1235" w:type="dxa"/>
            <w:tcBorders>
              <w:top w:val="nil"/>
              <w:left w:val="nil"/>
              <w:bottom w:val="nil"/>
              <w:right w:val="nil"/>
            </w:tcBorders>
            <w:shd w:val="clear" w:color="auto" w:fill="auto"/>
            <w:noWrap/>
            <w:vAlign w:val="center"/>
            <w:hideMark/>
          </w:tcPr>
          <w:p w14:paraId="08029DA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11.539.326,43</w:t>
            </w:r>
          </w:p>
        </w:tc>
        <w:tc>
          <w:tcPr>
            <w:tcW w:w="1235" w:type="dxa"/>
            <w:tcBorders>
              <w:top w:val="nil"/>
              <w:left w:val="nil"/>
              <w:bottom w:val="nil"/>
              <w:right w:val="nil"/>
            </w:tcBorders>
            <w:shd w:val="clear" w:color="auto" w:fill="auto"/>
            <w:noWrap/>
            <w:vAlign w:val="center"/>
            <w:hideMark/>
          </w:tcPr>
          <w:p w14:paraId="6765FD1B"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312.006,91</w:t>
            </w:r>
          </w:p>
        </w:tc>
        <w:tc>
          <w:tcPr>
            <w:tcW w:w="807" w:type="dxa"/>
            <w:tcBorders>
              <w:top w:val="nil"/>
              <w:left w:val="nil"/>
              <w:bottom w:val="nil"/>
              <w:right w:val="nil"/>
            </w:tcBorders>
            <w:shd w:val="clear" w:color="auto" w:fill="auto"/>
            <w:noWrap/>
            <w:vAlign w:val="center"/>
            <w:hideMark/>
          </w:tcPr>
          <w:p w14:paraId="4EABE9EC"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20,19</w:t>
            </w:r>
          </w:p>
        </w:tc>
        <w:tc>
          <w:tcPr>
            <w:tcW w:w="996" w:type="dxa"/>
            <w:tcBorders>
              <w:top w:val="nil"/>
              <w:left w:val="nil"/>
              <w:bottom w:val="nil"/>
              <w:right w:val="nil"/>
            </w:tcBorders>
            <w:shd w:val="clear" w:color="auto" w:fill="auto"/>
            <w:noWrap/>
            <w:vAlign w:val="center"/>
            <w:hideMark/>
          </w:tcPr>
          <w:p w14:paraId="3439D8E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2,70</w:t>
            </w:r>
          </w:p>
        </w:tc>
        <w:tc>
          <w:tcPr>
            <w:tcW w:w="1154" w:type="dxa"/>
            <w:tcBorders>
              <w:top w:val="nil"/>
              <w:left w:val="nil"/>
              <w:bottom w:val="nil"/>
              <w:right w:val="nil"/>
            </w:tcBorders>
            <w:shd w:val="clear" w:color="auto" w:fill="auto"/>
            <w:noWrap/>
            <w:vAlign w:val="center"/>
            <w:hideMark/>
          </w:tcPr>
          <w:p w14:paraId="2A42EB6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251.036,84</w:t>
            </w:r>
          </w:p>
        </w:tc>
        <w:tc>
          <w:tcPr>
            <w:tcW w:w="1279" w:type="dxa"/>
            <w:tcBorders>
              <w:top w:val="nil"/>
              <w:left w:val="nil"/>
              <w:bottom w:val="nil"/>
              <w:right w:val="nil"/>
            </w:tcBorders>
            <w:shd w:val="clear" w:color="auto" w:fill="auto"/>
            <w:noWrap/>
            <w:vAlign w:val="center"/>
            <w:hideMark/>
          </w:tcPr>
          <w:p w14:paraId="644DFEA6"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60.970,07</w:t>
            </w:r>
          </w:p>
        </w:tc>
      </w:tr>
      <w:tr w:rsidR="00D10805" w:rsidRPr="00A17B6F" w14:paraId="45CFD42E" w14:textId="77777777" w:rsidTr="00BC1CA7">
        <w:trPr>
          <w:trHeight w:val="495"/>
        </w:trPr>
        <w:tc>
          <w:tcPr>
            <w:tcW w:w="947" w:type="dxa"/>
            <w:tcBorders>
              <w:top w:val="single" w:sz="8" w:space="0" w:color="auto"/>
              <w:left w:val="nil"/>
              <w:bottom w:val="single" w:sz="8" w:space="0" w:color="auto"/>
              <w:right w:val="nil"/>
            </w:tcBorders>
            <w:shd w:val="clear" w:color="000000" w:fill="F2F2F2"/>
            <w:noWrap/>
            <w:vAlign w:val="center"/>
            <w:hideMark/>
          </w:tcPr>
          <w:p w14:paraId="6A674EA0" w14:textId="77777777" w:rsidR="00D10805" w:rsidRPr="00A17B6F" w:rsidRDefault="00D10805" w:rsidP="00D10805">
            <w:pPr>
              <w:spacing w:after="0" w:line="240" w:lineRule="auto"/>
              <w:jc w:val="center"/>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5</w:t>
            </w:r>
          </w:p>
        </w:tc>
        <w:tc>
          <w:tcPr>
            <w:tcW w:w="2455" w:type="dxa"/>
            <w:tcBorders>
              <w:top w:val="single" w:sz="8" w:space="0" w:color="auto"/>
              <w:left w:val="nil"/>
              <w:bottom w:val="single" w:sz="8" w:space="0" w:color="auto"/>
              <w:right w:val="nil"/>
            </w:tcBorders>
            <w:shd w:val="clear" w:color="000000" w:fill="F2F2F2"/>
            <w:vAlign w:val="center"/>
            <w:hideMark/>
          </w:tcPr>
          <w:p w14:paraId="18404EAE"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IZDACI ZA FINANCIJSKU IMOVINU I OTPLATU ZAJMOVA</w:t>
            </w:r>
          </w:p>
        </w:tc>
        <w:tc>
          <w:tcPr>
            <w:tcW w:w="1256" w:type="dxa"/>
            <w:tcBorders>
              <w:top w:val="single" w:sz="8" w:space="0" w:color="auto"/>
              <w:left w:val="nil"/>
              <w:bottom w:val="single" w:sz="8" w:space="0" w:color="auto"/>
              <w:right w:val="nil"/>
            </w:tcBorders>
            <w:shd w:val="clear" w:color="000000" w:fill="F2F2F2"/>
            <w:noWrap/>
            <w:vAlign w:val="center"/>
            <w:hideMark/>
          </w:tcPr>
          <w:p w14:paraId="76173B08"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448.191,65</w:t>
            </w:r>
          </w:p>
        </w:tc>
        <w:tc>
          <w:tcPr>
            <w:tcW w:w="1235" w:type="dxa"/>
            <w:tcBorders>
              <w:top w:val="single" w:sz="8" w:space="0" w:color="auto"/>
              <w:left w:val="nil"/>
              <w:bottom w:val="single" w:sz="8" w:space="0" w:color="auto"/>
              <w:right w:val="nil"/>
            </w:tcBorders>
            <w:shd w:val="clear" w:color="000000" w:fill="F2F2F2"/>
            <w:noWrap/>
            <w:vAlign w:val="center"/>
            <w:hideMark/>
          </w:tcPr>
          <w:p w14:paraId="7440893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3.825.381,48</w:t>
            </w:r>
          </w:p>
        </w:tc>
        <w:tc>
          <w:tcPr>
            <w:tcW w:w="1235" w:type="dxa"/>
            <w:tcBorders>
              <w:top w:val="single" w:sz="8" w:space="0" w:color="auto"/>
              <w:left w:val="nil"/>
              <w:bottom w:val="single" w:sz="8" w:space="0" w:color="auto"/>
              <w:right w:val="nil"/>
            </w:tcBorders>
            <w:shd w:val="clear" w:color="000000" w:fill="F2F2F2"/>
            <w:noWrap/>
            <w:vAlign w:val="center"/>
            <w:hideMark/>
          </w:tcPr>
          <w:p w14:paraId="6ADD88DA"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3.053.657,64</w:t>
            </w:r>
          </w:p>
        </w:tc>
        <w:tc>
          <w:tcPr>
            <w:tcW w:w="807" w:type="dxa"/>
            <w:tcBorders>
              <w:top w:val="single" w:sz="8" w:space="0" w:color="auto"/>
              <w:left w:val="nil"/>
              <w:bottom w:val="single" w:sz="8" w:space="0" w:color="auto"/>
              <w:right w:val="nil"/>
            </w:tcBorders>
            <w:shd w:val="clear" w:color="000000" w:fill="F2F2F2"/>
            <w:noWrap/>
            <w:vAlign w:val="center"/>
            <w:hideMark/>
          </w:tcPr>
          <w:p w14:paraId="4FD80D1A"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681,33</w:t>
            </w:r>
          </w:p>
        </w:tc>
        <w:tc>
          <w:tcPr>
            <w:tcW w:w="996" w:type="dxa"/>
            <w:tcBorders>
              <w:top w:val="single" w:sz="8" w:space="0" w:color="auto"/>
              <w:left w:val="nil"/>
              <w:bottom w:val="single" w:sz="8" w:space="0" w:color="auto"/>
              <w:right w:val="nil"/>
            </w:tcBorders>
            <w:shd w:val="clear" w:color="000000" w:fill="F2F2F2"/>
            <w:noWrap/>
            <w:vAlign w:val="center"/>
            <w:hideMark/>
          </w:tcPr>
          <w:p w14:paraId="2E7B8CA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79,83</w:t>
            </w:r>
          </w:p>
        </w:tc>
        <w:tc>
          <w:tcPr>
            <w:tcW w:w="1154" w:type="dxa"/>
            <w:tcBorders>
              <w:top w:val="single" w:sz="8" w:space="0" w:color="auto"/>
              <w:left w:val="nil"/>
              <w:bottom w:val="single" w:sz="8" w:space="0" w:color="auto"/>
              <w:right w:val="nil"/>
            </w:tcBorders>
            <w:shd w:val="clear" w:color="000000" w:fill="F2F2F2"/>
            <w:noWrap/>
            <w:vAlign w:val="center"/>
            <w:hideMark/>
          </w:tcPr>
          <w:p w14:paraId="54D0370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171.824,05</w:t>
            </w:r>
          </w:p>
        </w:tc>
        <w:tc>
          <w:tcPr>
            <w:tcW w:w="1279" w:type="dxa"/>
            <w:tcBorders>
              <w:top w:val="single" w:sz="8" w:space="0" w:color="auto"/>
              <w:left w:val="nil"/>
              <w:bottom w:val="single" w:sz="8" w:space="0" w:color="auto"/>
              <w:right w:val="nil"/>
            </w:tcBorders>
            <w:shd w:val="clear" w:color="000000" w:fill="F2F2F2"/>
            <w:noWrap/>
            <w:vAlign w:val="center"/>
            <w:hideMark/>
          </w:tcPr>
          <w:p w14:paraId="52DB6573"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2.881.833,59</w:t>
            </w:r>
          </w:p>
        </w:tc>
      </w:tr>
      <w:tr w:rsidR="00D10805" w:rsidRPr="00A17B6F" w14:paraId="3DC813A5" w14:textId="77777777" w:rsidTr="00BC1CA7">
        <w:trPr>
          <w:trHeight w:val="495"/>
        </w:trPr>
        <w:tc>
          <w:tcPr>
            <w:tcW w:w="947" w:type="dxa"/>
            <w:tcBorders>
              <w:top w:val="nil"/>
              <w:left w:val="nil"/>
              <w:bottom w:val="nil"/>
              <w:right w:val="nil"/>
            </w:tcBorders>
            <w:shd w:val="clear" w:color="auto" w:fill="auto"/>
            <w:noWrap/>
            <w:vAlign w:val="center"/>
            <w:hideMark/>
          </w:tcPr>
          <w:p w14:paraId="510BB5A9" w14:textId="77777777" w:rsidR="00D10805" w:rsidRPr="00A17B6F" w:rsidRDefault="00D10805" w:rsidP="00D10805">
            <w:pPr>
              <w:spacing w:after="0" w:line="240" w:lineRule="auto"/>
              <w:jc w:val="center"/>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54</w:t>
            </w:r>
          </w:p>
        </w:tc>
        <w:tc>
          <w:tcPr>
            <w:tcW w:w="2455" w:type="dxa"/>
            <w:tcBorders>
              <w:top w:val="nil"/>
              <w:left w:val="nil"/>
              <w:bottom w:val="nil"/>
              <w:right w:val="nil"/>
            </w:tcBorders>
            <w:shd w:val="clear" w:color="auto" w:fill="auto"/>
            <w:vAlign w:val="center"/>
            <w:hideMark/>
          </w:tcPr>
          <w:p w14:paraId="49450323" w14:textId="77777777" w:rsidR="00D10805" w:rsidRPr="00A17B6F" w:rsidRDefault="00D10805" w:rsidP="00D10805">
            <w:pPr>
              <w:spacing w:after="0" w:line="240" w:lineRule="auto"/>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Izdaci za otplatu glavnice primljenih kredita i zajmova</w:t>
            </w:r>
          </w:p>
        </w:tc>
        <w:tc>
          <w:tcPr>
            <w:tcW w:w="1256" w:type="dxa"/>
            <w:tcBorders>
              <w:top w:val="nil"/>
              <w:left w:val="nil"/>
              <w:bottom w:val="nil"/>
              <w:right w:val="nil"/>
            </w:tcBorders>
            <w:shd w:val="clear" w:color="auto" w:fill="auto"/>
            <w:noWrap/>
            <w:vAlign w:val="center"/>
            <w:hideMark/>
          </w:tcPr>
          <w:p w14:paraId="7796416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448.191,65</w:t>
            </w:r>
          </w:p>
        </w:tc>
        <w:tc>
          <w:tcPr>
            <w:tcW w:w="1235" w:type="dxa"/>
            <w:tcBorders>
              <w:top w:val="nil"/>
              <w:left w:val="nil"/>
              <w:bottom w:val="nil"/>
              <w:right w:val="nil"/>
            </w:tcBorders>
            <w:shd w:val="clear" w:color="auto" w:fill="auto"/>
            <w:noWrap/>
            <w:vAlign w:val="center"/>
            <w:hideMark/>
          </w:tcPr>
          <w:p w14:paraId="5A574D7A"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3.825.381,48</w:t>
            </w:r>
          </w:p>
        </w:tc>
        <w:tc>
          <w:tcPr>
            <w:tcW w:w="1235" w:type="dxa"/>
            <w:tcBorders>
              <w:top w:val="nil"/>
              <w:left w:val="nil"/>
              <w:bottom w:val="nil"/>
              <w:right w:val="nil"/>
            </w:tcBorders>
            <w:shd w:val="clear" w:color="auto" w:fill="auto"/>
            <w:noWrap/>
            <w:vAlign w:val="center"/>
            <w:hideMark/>
          </w:tcPr>
          <w:p w14:paraId="62442B58"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3.053.657,64</w:t>
            </w:r>
          </w:p>
        </w:tc>
        <w:tc>
          <w:tcPr>
            <w:tcW w:w="807" w:type="dxa"/>
            <w:tcBorders>
              <w:top w:val="nil"/>
              <w:left w:val="nil"/>
              <w:bottom w:val="nil"/>
              <w:right w:val="nil"/>
            </w:tcBorders>
            <w:shd w:val="clear" w:color="auto" w:fill="auto"/>
            <w:noWrap/>
            <w:vAlign w:val="center"/>
            <w:hideMark/>
          </w:tcPr>
          <w:p w14:paraId="6C3FA9A1"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681,33</w:t>
            </w:r>
          </w:p>
        </w:tc>
        <w:tc>
          <w:tcPr>
            <w:tcW w:w="996" w:type="dxa"/>
            <w:tcBorders>
              <w:top w:val="nil"/>
              <w:left w:val="nil"/>
              <w:bottom w:val="nil"/>
              <w:right w:val="nil"/>
            </w:tcBorders>
            <w:shd w:val="clear" w:color="auto" w:fill="auto"/>
            <w:noWrap/>
            <w:vAlign w:val="center"/>
            <w:hideMark/>
          </w:tcPr>
          <w:p w14:paraId="615B7D72"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79,83</w:t>
            </w:r>
          </w:p>
        </w:tc>
        <w:tc>
          <w:tcPr>
            <w:tcW w:w="1154" w:type="dxa"/>
            <w:tcBorders>
              <w:top w:val="nil"/>
              <w:left w:val="nil"/>
              <w:bottom w:val="nil"/>
              <w:right w:val="nil"/>
            </w:tcBorders>
            <w:shd w:val="clear" w:color="auto" w:fill="auto"/>
            <w:noWrap/>
            <w:vAlign w:val="center"/>
            <w:hideMark/>
          </w:tcPr>
          <w:p w14:paraId="0DE87747"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171.824,05</w:t>
            </w:r>
          </w:p>
        </w:tc>
        <w:tc>
          <w:tcPr>
            <w:tcW w:w="1279" w:type="dxa"/>
            <w:tcBorders>
              <w:top w:val="nil"/>
              <w:left w:val="nil"/>
              <w:bottom w:val="nil"/>
              <w:right w:val="nil"/>
            </w:tcBorders>
            <w:shd w:val="clear" w:color="auto" w:fill="auto"/>
            <w:noWrap/>
            <w:vAlign w:val="center"/>
            <w:hideMark/>
          </w:tcPr>
          <w:p w14:paraId="2A3491BF" w14:textId="77777777" w:rsidR="00D10805" w:rsidRPr="00A17B6F" w:rsidRDefault="00D10805" w:rsidP="00D10805">
            <w:pPr>
              <w:spacing w:after="0" w:line="240" w:lineRule="auto"/>
              <w:jc w:val="right"/>
              <w:rPr>
                <w:rFonts w:ascii="Calibri" w:eastAsia="Times New Roman" w:hAnsi="Calibri" w:cs="Calibri"/>
                <w:color w:val="000000"/>
                <w:sz w:val="16"/>
                <w:szCs w:val="16"/>
                <w:lang w:eastAsia="hr-HR"/>
              </w:rPr>
            </w:pPr>
            <w:r w:rsidRPr="00A17B6F">
              <w:rPr>
                <w:rFonts w:ascii="Calibri" w:eastAsia="Times New Roman" w:hAnsi="Calibri" w:cs="Calibri"/>
                <w:color w:val="000000"/>
                <w:sz w:val="16"/>
                <w:szCs w:val="16"/>
                <w:lang w:eastAsia="hr-HR"/>
              </w:rPr>
              <w:t>2.881.833,59</w:t>
            </w:r>
          </w:p>
        </w:tc>
      </w:tr>
      <w:tr w:rsidR="00D10805" w:rsidRPr="00A17B6F" w14:paraId="615CB732" w14:textId="77777777" w:rsidTr="00BC1CA7">
        <w:trPr>
          <w:trHeight w:val="315"/>
        </w:trPr>
        <w:tc>
          <w:tcPr>
            <w:tcW w:w="947" w:type="dxa"/>
            <w:tcBorders>
              <w:top w:val="single" w:sz="8" w:space="0" w:color="auto"/>
              <w:left w:val="nil"/>
              <w:bottom w:val="single" w:sz="8" w:space="0" w:color="auto"/>
              <w:right w:val="nil"/>
            </w:tcBorders>
            <w:shd w:val="clear" w:color="000000" w:fill="F2F2F2"/>
            <w:noWrap/>
            <w:vAlign w:val="center"/>
            <w:hideMark/>
          </w:tcPr>
          <w:p w14:paraId="3FA670D1"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 </w:t>
            </w:r>
          </w:p>
        </w:tc>
        <w:tc>
          <w:tcPr>
            <w:tcW w:w="2455" w:type="dxa"/>
            <w:tcBorders>
              <w:top w:val="single" w:sz="8" w:space="0" w:color="auto"/>
              <w:left w:val="nil"/>
              <w:bottom w:val="single" w:sz="8" w:space="0" w:color="auto"/>
              <w:right w:val="nil"/>
            </w:tcBorders>
            <w:shd w:val="clear" w:color="000000" w:fill="F2F2F2"/>
            <w:noWrap/>
            <w:vAlign w:val="center"/>
            <w:hideMark/>
          </w:tcPr>
          <w:p w14:paraId="6F42CD87" w14:textId="77777777" w:rsidR="00D10805" w:rsidRPr="00A17B6F" w:rsidRDefault="00D10805" w:rsidP="00D10805">
            <w:pPr>
              <w:spacing w:after="0" w:line="240" w:lineRule="auto"/>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UKUPNO RASHODI I IZDACI</w:t>
            </w:r>
          </w:p>
        </w:tc>
        <w:tc>
          <w:tcPr>
            <w:tcW w:w="1256" w:type="dxa"/>
            <w:tcBorders>
              <w:top w:val="single" w:sz="8" w:space="0" w:color="auto"/>
              <w:left w:val="nil"/>
              <w:bottom w:val="single" w:sz="8" w:space="0" w:color="auto"/>
              <w:right w:val="nil"/>
            </w:tcBorders>
            <w:shd w:val="clear" w:color="000000" w:fill="F2F2F2"/>
            <w:noWrap/>
            <w:vAlign w:val="center"/>
            <w:hideMark/>
          </w:tcPr>
          <w:p w14:paraId="70D39872"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99.953.195,34</w:t>
            </w:r>
          </w:p>
        </w:tc>
        <w:tc>
          <w:tcPr>
            <w:tcW w:w="1235" w:type="dxa"/>
            <w:tcBorders>
              <w:top w:val="single" w:sz="8" w:space="0" w:color="auto"/>
              <w:left w:val="nil"/>
              <w:bottom w:val="single" w:sz="8" w:space="0" w:color="auto"/>
              <w:right w:val="nil"/>
            </w:tcBorders>
            <w:shd w:val="clear" w:color="000000" w:fill="F2F2F2"/>
            <w:noWrap/>
            <w:vAlign w:val="center"/>
            <w:hideMark/>
          </w:tcPr>
          <w:p w14:paraId="008C368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294.990.000,00</w:t>
            </w:r>
          </w:p>
        </w:tc>
        <w:tc>
          <w:tcPr>
            <w:tcW w:w="1235" w:type="dxa"/>
            <w:tcBorders>
              <w:top w:val="single" w:sz="8" w:space="0" w:color="auto"/>
              <w:left w:val="nil"/>
              <w:bottom w:val="single" w:sz="8" w:space="0" w:color="auto"/>
              <w:right w:val="nil"/>
            </w:tcBorders>
            <w:shd w:val="clear" w:color="000000" w:fill="F2F2F2"/>
            <w:noWrap/>
            <w:vAlign w:val="center"/>
            <w:hideMark/>
          </w:tcPr>
          <w:p w14:paraId="1E151FFB"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123.393.295,52</w:t>
            </w:r>
          </w:p>
        </w:tc>
        <w:tc>
          <w:tcPr>
            <w:tcW w:w="807" w:type="dxa"/>
            <w:tcBorders>
              <w:top w:val="single" w:sz="8" w:space="0" w:color="auto"/>
              <w:left w:val="nil"/>
              <w:bottom w:val="single" w:sz="8" w:space="0" w:color="auto"/>
              <w:right w:val="nil"/>
            </w:tcBorders>
            <w:shd w:val="clear" w:color="000000" w:fill="F2F2F2"/>
            <w:noWrap/>
            <w:vAlign w:val="center"/>
            <w:hideMark/>
          </w:tcPr>
          <w:p w14:paraId="2B789D7A"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123,45</w:t>
            </w:r>
          </w:p>
        </w:tc>
        <w:tc>
          <w:tcPr>
            <w:tcW w:w="996" w:type="dxa"/>
            <w:tcBorders>
              <w:top w:val="single" w:sz="8" w:space="0" w:color="auto"/>
              <w:left w:val="nil"/>
              <w:bottom w:val="single" w:sz="8" w:space="0" w:color="auto"/>
              <w:right w:val="nil"/>
            </w:tcBorders>
            <w:shd w:val="clear" w:color="000000" w:fill="F2F2F2"/>
            <w:noWrap/>
            <w:vAlign w:val="center"/>
            <w:hideMark/>
          </w:tcPr>
          <w:p w14:paraId="4D3E26A0"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41,83</w:t>
            </w:r>
          </w:p>
        </w:tc>
        <w:tc>
          <w:tcPr>
            <w:tcW w:w="1154" w:type="dxa"/>
            <w:tcBorders>
              <w:top w:val="single" w:sz="8" w:space="0" w:color="auto"/>
              <w:left w:val="nil"/>
              <w:bottom w:val="single" w:sz="8" w:space="0" w:color="auto"/>
              <w:right w:val="nil"/>
            </w:tcBorders>
            <w:shd w:val="clear" w:color="000000" w:fill="F2F2F2"/>
            <w:noWrap/>
            <w:vAlign w:val="center"/>
            <w:hideMark/>
          </w:tcPr>
          <w:p w14:paraId="645CAD6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25.106.567,56</w:t>
            </w:r>
          </w:p>
        </w:tc>
        <w:tc>
          <w:tcPr>
            <w:tcW w:w="1279" w:type="dxa"/>
            <w:tcBorders>
              <w:top w:val="single" w:sz="8" w:space="0" w:color="auto"/>
              <w:left w:val="nil"/>
              <w:bottom w:val="single" w:sz="8" w:space="0" w:color="auto"/>
              <w:right w:val="nil"/>
            </w:tcBorders>
            <w:shd w:val="clear" w:color="000000" w:fill="F2F2F2"/>
            <w:noWrap/>
            <w:vAlign w:val="center"/>
            <w:hideMark/>
          </w:tcPr>
          <w:p w14:paraId="5274AEA4" w14:textId="77777777" w:rsidR="00D10805" w:rsidRPr="00A17B6F" w:rsidRDefault="00D10805" w:rsidP="00D10805">
            <w:pPr>
              <w:spacing w:after="0" w:line="240" w:lineRule="auto"/>
              <w:jc w:val="right"/>
              <w:rPr>
                <w:rFonts w:ascii="Calibri" w:eastAsia="Times New Roman" w:hAnsi="Calibri" w:cs="Calibri"/>
                <w:b/>
                <w:bCs/>
                <w:color w:val="000000"/>
                <w:sz w:val="16"/>
                <w:szCs w:val="16"/>
                <w:lang w:eastAsia="hr-HR"/>
              </w:rPr>
            </w:pPr>
            <w:r w:rsidRPr="00A17B6F">
              <w:rPr>
                <w:rFonts w:ascii="Calibri" w:eastAsia="Times New Roman" w:hAnsi="Calibri" w:cs="Calibri"/>
                <w:b/>
                <w:bCs/>
                <w:color w:val="000000"/>
                <w:sz w:val="16"/>
                <w:szCs w:val="16"/>
                <w:lang w:eastAsia="hr-HR"/>
              </w:rPr>
              <w:t>98.286.727,96</w:t>
            </w:r>
          </w:p>
        </w:tc>
      </w:tr>
    </w:tbl>
    <w:p w14:paraId="2CD76F7E" w14:textId="5FDD0F49" w:rsidR="00D10805" w:rsidRPr="00A17B6F" w:rsidRDefault="00D10805" w:rsidP="00DA6E63">
      <w:pPr>
        <w:pStyle w:val="ListParagraph"/>
        <w:ind w:left="8565"/>
        <w:jc w:val="both"/>
        <w:rPr>
          <w:rFonts w:ascii="Arial" w:hAnsi="Arial" w:cs="Arial"/>
          <w:sz w:val="16"/>
          <w:szCs w:val="16"/>
        </w:rPr>
      </w:pPr>
    </w:p>
    <w:p w14:paraId="3EA04D8B" w14:textId="26CBA829" w:rsidR="00D10805" w:rsidRPr="00A17B6F" w:rsidRDefault="00D10805" w:rsidP="00DA6E63">
      <w:pPr>
        <w:pStyle w:val="ListParagraph"/>
        <w:ind w:left="8565"/>
        <w:jc w:val="both"/>
        <w:rPr>
          <w:rFonts w:ascii="Arial" w:hAnsi="Arial" w:cs="Arial"/>
          <w:sz w:val="16"/>
          <w:szCs w:val="16"/>
        </w:rPr>
      </w:pPr>
    </w:p>
    <w:p w14:paraId="6DFEFE7D" w14:textId="77777777" w:rsidR="00D10805" w:rsidRPr="00A17B6F" w:rsidRDefault="00D10805" w:rsidP="00DA6E63">
      <w:pPr>
        <w:pStyle w:val="ListParagraph"/>
        <w:ind w:left="8565"/>
        <w:jc w:val="both"/>
        <w:rPr>
          <w:rFonts w:ascii="Arial" w:hAnsi="Arial" w:cs="Arial"/>
          <w:sz w:val="16"/>
          <w:szCs w:val="16"/>
        </w:rPr>
      </w:pPr>
    </w:p>
    <w:p w14:paraId="041EBF71" w14:textId="77777777" w:rsidR="00DA6E63" w:rsidRPr="00A17B6F" w:rsidRDefault="00DA6E63" w:rsidP="00DA1B62">
      <w:pPr>
        <w:ind w:left="8160"/>
        <w:jc w:val="both"/>
        <w:rPr>
          <w:rFonts w:ascii="Arial" w:hAnsi="Arial" w:cs="Arial"/>
          <w:sz w:val="20"/>
          <w:szCs w:val="20"/>
        </w:rPr>
      </w:pPr>
    </w:p>
    <w:p w14:paraId="27403711" w14:textId="658D407E" w:rsidR="00F30843" w:rsidRPr="00A17B6F" w:rsidRDefault="00F30843" w:rsidP="00DA1B62">
      <w:pPr>
        <w:ind w:left="8160"/>
        <w:jc w:val="both"/>
        <w:rPr>
          <w:rFonts w:ascii="Arial" w:hAnsi="Arial" w:cs="Arial"/>
          <w:sz w:val="20"/>
          <w:szCs w:val="20"/>
        </w:rPr>
      </w:pPr>
    </w:p>
    <w:p w14:paraId="0940FA3A" w14:textId="69E51831" w:rsidR="00001616" w:rsidRPr="00A17B6F" w:rsidRDefault="00001616" w:rsidP="00DA1B62">
      <w:pPr>
        <w:ind w:left="8160"/>
        <w:jc w:val="both"/>
        <w:rPr>
          <w:rFonts w:ascii="Arial" w:hAnsi="Arial" w:cs="Arial"/>
          <w:sz w:val="20"/>
          <w:szCs w:val="20"/>
        </w:rPr>
      </w:pPr>
    </w:p>
    <w:p w14:paraId="14DE0E95" w14:textId="25E22A7F" w:rsidR="00F31B48" w:rsidRPr="00A17B6F" w:rsidRDefault="00F31B48" w:rsidP="00DA1B62">
      <w:pPr>
        <w:ind w:left="8160"/>
        <w:jc w:val="both"/>
        <w:rPr>
          <w:rFonts w:ascii="Arial" w:hAnsi="Arial" w:cs="Arial"/>
          <w:sz w:val="20"/>
          <w:szCs w:val="20"/>
        </w:rPr>
      </w:pPr>
    </w:p>
    <w:p w14:paraId="4E1210A7" w14:textId="5004AA2F" w:rsidR="00087289" w:rsidRPr="00A17B6F" w:rsidRDefault="00087289" w:rsidP="00087289">
      <w:pPr>
        <w:numPr>
          <w:ilvl w:val="12"/>
          <w:numId w:val="0"/>
        </w:numPr>
        <w:spacing w:after="0" w:line="240" w:lineRule="auto"/>
        <w:ind w:left="1260" w:hanging="1440"/>
        <w:rPr>
          <w:rFonts w:ascii="Arial" w:eastAsia="Times New Roman" w:hAnsi="Arial" w:cs="Times New Roman"/>
          <w:bCs/>
          <w:sz w:val="24"/>
          <w:szCs w:val="24"/>
          <w:lang w:eastAsia="hr-HR"/>
        </w:rPr>
      </w:pPr>
      <w:r w:rsidRPr="00A17B6F">
        <w:rPr>
          <w:rFonts w:ascii="Arial" w:eastAsia="Times New Roman" w:hAnsi="Arial" w:cs="Arial"/>
          <w:b/>
          <w:sz w:val="23"/>
          <w:szCs w:val="23"/>
          <w:lang w:eastAsia="hr-HR"/>
        </w:rPr>
        <w:lastRenderedPageBreak/>
        <w:t xml:space="preserve">Grafikon </w:t>
      </w:r>
      <w:r w:rsidR="00A85F4C" w:rsidRPr="00A17B6F">
        <w:rPr>
          <w:rFonts w:ascii="Arial" w:eastAsia="Times New Roman" w:hAnsi="Arial" w:cs="Arial"/>
          <w:b/>
          <w:sz w:val="23"/>
          <w:szCs w:val="23"/>
          <w:lang w:eastAsia="hr-HR"/>
        </w:rPr>
        <w:t>3</w:t>
      </w:r>
      <w:r w:rsidRPr="00A17B6F">
        <w:rPr>
          <w:rFonts w:ascii="Arial" w:eastAsia="Times New Roman" w:hAnsi="Arial" w:cs="Arial"/>
          <w:b/>
          <w:sz w:val="23"/>
          <w:szCs w:val="23"/>
          <w:lang w:eastAsia="hr-HR"/>
        </w:rPr>
        <w:t xml:space="preserve">.: </w:t>
      </w:r>
      <w:r w:rsidRPr="00A17B6F">
        <w:rPr>
          <w:rFonts w:ascii="Arial" w:eastAsia="Times New Roman" w:hAnsi="Arial" w:cs="Times New Roman"/>
          <w:bCs/>
          <w:sz w:val="24"/>
          <w:szCs w:val="24"/>
          <w:lang w:eastAsia="hr-HR"/>
        </w:rPr>
        <w:t xml:space="preserve">Planirani i izvršeni rashodi i izdaci </w:t>
      </w:r>
      <w:r w:rsidR="00C1543C" w:rsidRPr="00A17B6F">
        <w:rPr>
          <w:rFonts w:ascii="Arial" w:eastAsia="Times New Roman" w:hAnsi="Arial" w:cs="Times New Roman"/>
          <w:bCs/>
          <w:sz w:val="24"/>
          <w:szCs w:val="24"/>
          <w:lang w:eastAsia="hr-HR"/>
        </w:rPr>
        <w:t xml:space="preserve">konsolidiranog proračuna </w:t>
      </w:r>
      <w:r w:rsidR="009B4DFA" w:rsidRPr="00A17B6F">
        <w:rPr>
          <w:rFonts w:ascii="Arial" w:eastAsia="Times New Roman" w:hAnsi="Arial" w:cs="Times New Roman"/>
          <w:bCs/>
          <w:sz w:val="24"/>
          <w:szCs w:val="24"/>
          <w:lang w:eastAsia="hr-HR"/>
        </w:rPr>
        <w:t>PGŽ</w:t>
      </w:r>
      <w:r w:rsidRPr="00A17B6F">
        <w:rPr>
          <w:rFonts w:ascii="Arial" w:eastAsia="Times New Roman" w:hAnsi="Arial" w:cs="Times New Roman"/>
          <w:bCs/>
          <w:sz w:val="24"/>
          <w:szCs w:val="24"/>
          <w:lang w:eastAsia="hr-HR"/>
        </w:rPr>
        <w:t xml:space="preserve"> </w:t>
      </w:r>
      <w:r w:rsidR="00A85F4C" w:rsidRPr="00A17B6F">
        <w:rPr>
          <w:rFonts w:ascii="Arial" w:eastAsia="Times New Roman" w:hAnsi="Arial" w:cs="Times New Roman"/>
          <w:bCs/>
          <w:sz w:val="24"/>
          <w:szCs w:val="24"/>
          <w:lang w:eastAsia="hr-HR"/>
        </w:rPr>
        <w:t>u prvom polugodištu 202</w:t>
      </w:r>
      <w:r w:rsidR="00E4215A" w:rsidRPr="00A17B6F">
        <w:rPr>
          <w:rFonts w:ascii="Arial" w:eastAsia="Times New Roman" w:hAnsi="Arial" w:cs="Times New Roman"/>
          <w:bCs/>
          <w:sz w:val="24"/>
          <w:szCs w:val="24"/>
          <w:lang w:eastAsia="hr-HR"/>
        </w:rPr>
        <w:t>4</w:t>
      </w:r>
      <w:r w:rsidR="00A85F4C" w:rsidRPr="00A17B6F">
        <w:rPr>
          <w:rFonts w:ascii="Arial" w:eastAsia="Times New Roman" w:hAnsi="Arial" w:cs="Times New Roman"/>
          <w:bCs/>
          <w:sz w:val="24"/>
          <w:szCs w:val="24"/>
          <w:lang w:eastAsia="hr-HR"/>
        </w:rPr>
        <w:t>. godine</w:t>
      </w:r>
      <w:r w:rsidR="00B8538C" w:rsidRPr="00A17B6F">
        <w:rPr>
          <w:rFonts w:ascii="Arial" w:eastAsia="Times New Roman" w:hAnsi="Arial" w:cs="Times New Roman"/>
          <w:bCs/>
          <w:sz w:val="24"/>
          <w:szCs w:val="24"/>
          <w:lang w:eastAsia="hr-HR"/>
        </w:rPr>
        <w:t xml:space="preserve"> i usporedba s izvršenjem prethodne godine</w:t>
      </w:r>
    </w:p>
    <w:p w14:paraId="5E01A21E" w14:textId="7FB538F4" w:rsidR="00E4215A" w:rsidRPr="00A17B6F" w:rsidRDefault="00E4215A" w:rsidP="00087289">
      <w:pPr>
        <w:numPr>
          <w:ilvl w:val="12"/>
          <w:numId w:val="0"/>
        </w:numPr>
        <w:spacing w:after="0" w:line="240" w:lineRule="auto"/>
        <w:ind w:left="1260" w:hanging="1440"/>
        <w:rPr>
          <w:rFonts w:ascii="Arial" w:eastAsia="Times New Roman" w:hAnsi="Arial" w:cs="Times New Roman"/>
          <w:bCs/>
          <w:sz w:val="24"/>
          <w:szCs w:val="24"/>
          <w:lang w:eastAsia="hr-HR"/>
        </w:rPr>
      </w:pPr>
    </w:p>
    <w:p w14:paraId="537FF8CB" w14:textId="18045B43" w:rsidR="00CD7473" w:rsidRPr="00A17B6F" w:rsidRDefault="00E4215A" w:rsidP="00BC1CA7">
      <w:pPr>
        <w:numPr>
          <w:ilvl w:val="12"/>
          <w:numId w:val="0"/>
        </w:numPr>
        <w:spacing w:after="0" w:line="240" w:lineRule="auto"/>
        <w:ind w:left="1260" w:hanging="1260"/>
        <w:rPr>
          <w:rFonts w:ascii="Arial" w:eastAsia="Times New Roman" w:hAnsi="Arial" w:cs="Times New Roman"/>
          <w:bCs/>
          <w:sz w:val="10"/>
          <w:szCs w:val="10"/>
          <w:lang w:eastAsia="hr-HR"/>
        </w:rPr>
      </w:pPr>
      <w:r w:rsidRPr="00A17B6F">
        <w:rPr>
          <w:rFonts w:ascii="Arial" w:eastAsia="Times New Roman" w:hAnsi="Arial" w:cs="Times New Roman"/>
          <w:bCs/>
          <w:noProof/>
          <w:sz w:val="24"/>
          <w:szCs w:val="24"/>
          <w:lang w:eastAsia="hr-HR"/>
        </w:rPr>
        <w:drawing>
          <wp:inline distT="0" distB="0" distL="0" distR="0" wp14:anchorId="6B1885A9" wp14:editId="37FF61B5">
            <wp:extent cx="6118927" cy="3802399"/>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9349" cy="3815090"/>
                    </a:xfrm>
                    <a:prstGeom prst="rect">
                      <a:avLst/>
                    </a:prstGeom>
                    <a:noFill/>
                  </pic:spPr>
                </pic:pic>
              </a:graphicData>
            </a:graphic>
          </wp:inline>
        </w:drawing>
      </w:r>
    </w:p>
    <w:p w14:paraId="560805E0" w14:textId="3B9100E0" w:rsidR="002E5D8E" w:rsidRPr="00A17B6F" w:rsidRDefault="002E5D8E" w:rsidP="009B5095">
      <w:pPr>
        <w:numPr>
          <w:ilvl w:val="12"/>
          <w:numId w:val="0"/>
        </w:numPr>
        <w:spacing w:after="0" w:line="240" w:lineRule="auto"/>
        <w:ind w:firstLine="708"/>
        <w:jc w:val="both"/>
        <w:rPr>
          <w:rFonts w:ascii="Arial" w:eastAsia="Times New Roman" w:hAnsi="Arial" w:cs="Times New Roman"/>
          <w:bCs/>
          <w:sz w:val="24"/>
          <w:szCs w:val="24"/>
          <w:lang w:eastAsia="hr-HR"/>
        </w:rPr>
      </w:pPr>
      <w:r w:rsidRPr="00A17B6F">
        <w:rPr>
          <w:rFonts w:ascii="Arial" w:eastAsia="Times New Roman" w:hAnsi="Arial" w:cs="Times New Roman"/>
          <w:b/>
          <w:bCs/>
          <w:sz w:val="24"/>
          <w:szCs w:val="24"/>
          <w:lang w:eastAsia="hr-HR"/>
        </w:rPr>
        <w:t>Ukupni rashodi poslovanja</w:t>
      </w:r>
      <w:r w:rsidRPr="00A17B6F">
        <w:rPr>
          <w:rFonts w:ascii="Arial" w:eastAsia="Times New Roman" w:hAnsi="Arial" w:cs="Times New Roman"/>
          <w:bCs/>
          <w:sz w:val="24"/>
          <w:szCs w:val="24"/>
          <w:lang w:eastAsia="hr-HR"/>
        </w:rPr>
        <w:t xml:space="preserve"> na r</w:t>
      </w:r>
      <w:r w:rsidR="00F947BB" w:rsidRPr="00A17B6F">
        <w:rPr>
          <w:rFonts w:ascii="Arial" w:eastAsia="Times New Roman" w:hAnsi="Arial" w:cs="Times New Roman"/>
          <w:bCs/>
          <w:sz w:val="24"/>
          <w:szCs w:val="24"/>
          <w:lang w:eastAsia="hr-HR"/>
        </w:rPr>
        <w:t>a</w:t>
      </w:r>
      <w:r w:rsidRPr="00A17B6F">
        <w:rPr>
          <w:rFonts w:ascii="Arial" w:eastAsia="Times New Roman" w:hAnsi="Arial" w:cs="Times New Roman"/>
          <w:bCs/>
          <w:sz w:val="24"/>
          <w:szCs w:val="24"/>
          <w:lang w:eastAsia="hr-HR"/>
        </w:rPr>
        <w:t>zini konsolidiranog Proračuna za 202</w:t>
      </w:r>
      <w:r w:rsidR="00EC0896" w:rsidRPr="00A17B6F">
        <w:rPr>
          <w:rFonts w:ascii="Arial" w:eastAsia="Times New Roman" w:hAnsi="Arial" w:cs="Times New Roman"/>
          <w:bCs/>
          <w:sz w:val="24"/>
          <w:szCs w:val="24"/>
          <w:lang w:eastAsia="hr-HR"/>
        </w:rPr>
        <w:t>4</w:t>
      </w:r>
      <w:r w:rsidRPr="00A17B6F">
        <w:rPr>
          <w:rFonts w:ascii="Arial" w:eastAsia="Times New Roman" w:hAnsi="Arial" w:cs="Times New Roman"/>
          <w:bCs/>
          <w:sz w:val="24"/>
          <w:szCs w:val="24"/>
          <w:lang w:eastAsia="hr-HR"/>
        </w:rPr>
        <w:t xml:space="preserve">. godinu izvršeni su u prvih šest mjeseci u iznosu od </w:t>
      </w:r>
      <w:r w:rsidR="00EC0896" w:rsidRPr="00A17B6F">
        <w:rPr>
          <w:rFonts w:ascii="Arial" w:eastAsia="Times New Roman" w:hAnsi="Arial" w:cs="Times New Roman"/>
          <w:bCs/>
          <w:sz w:val="24"/>
          <w:szCs w:val="24"/>
          <w:lang w:eastAsia="hr-HR"/>
        </w:rPr>
        <w:t>118.683.754,37</w:t>
      </w:r>
      <w:r w:rsidR="005D67D6"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w:t>
      </w:r>
      <w:r w:rsidR="00EC0896" w:rsidRPr="00A17B6F">
        <w:rPr>
          <w:rFonts w:ascii="Arial" w:eastAsia="Times New Roman" w:hAnsi="Arial" w:cs="Times New Roman"/>
          <w:bCs/>
          <w:sz w:val="24"/>
          <w:szCs w:val="24"/>
          <w:lang w:eastAsia="hr-HR"/>
        </w:rPr>
        <w:t>44,88</w:t>
      </w:r>
      <w:r w:rsidRPr="00A17B6F">
        <w:rPr>
          <w:rFonts w:ascii="Arial" w:eastAsia="Times New Roman" w:hAnsi="Arial" w:cs="Times New Roman"/>
          <w:bCs/>
          <w:sz w:val="24"/>
          <w:szCs w:val="24"/>
          <w:lang w:eastAsia="hr-HR"/>
        </w:rPr>
        <w:t>% plan</w:t>
      </w:r>
      <w:r w:rsidR="00F947BB" w:rsidRPr="00A17B6F">
        <w:rPr>
          <w:rFonts w:ascii="Arial" w:eastAsia="Times New Roman" w:hAnsi="Arial" w:cs="Times New Roman"/>
          <w:bCs/>
          <w:sz w:val="24"/>
          <w:szCs w:val="24"/>
          <w:lang w:eastAsia="hr-HR"/>
        </w:rPr>
        <w:t>a</w:t>
      </w:r>
      <w:r w:rsidRPr="00A17B6F">
        <w:rPr>
          <w:rFonts w:ascii="Arial" w:eastAsia="Times New Roman" w:hAnsi="Arial" w:cs="Times New Roman"/>
          <w:bCs/>
          <w:sz w:val="24"/>
          <w:szCs w:val="24"/>
          <w:lang w:eastAsia="hr-HR"/>
        </w:rPr>
        <w:t xml:space="preserve">) od čega se </w:t>
      </w:r>
      <w:r w:rsidR="00EC0896" w:rsidRPr="00A17B6F">
        <w:rPr>
          <w:rFonts w:ascii="Arial" w:eastAsia="Times New Roman" w:hAnsi="Arial" w:cs="Times New Roman"/>
          <w:bCs/>
          <w:sz w:val="24"/>
          <w:szCs w:val="24"/>
          <w:lang w:eastAsia="hr-HR"/>
        </w:rPr>
        <w:t>24.244.830,41</w:t>
      </w:r>
      <w:r w:rsidR="005D67D6"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odnosi na rashode financirane iz vlastitih izvora Županije, a </w:t>
      </w:r>
      <w:r w:rsidR="00EC0896" w:rsidRPr="00A17B6F">
        <w:rPr>
          <w:rFonts w:ascii="Arial" w:eastAsia="Times New Roman" w:hAnsi="Arial" w:cs="Times New Roman"/>
          <w:bCs/>
          <w:sz w:val="24"/>
          <w:szCs w:val="24"/>
          <w:lang w:eastAsia="hr-HR"/>
        </w:rPr>
        <w:t>94.438.923,96</w:t>
      </w:r>
      <w:r w:rsidR="005D67D6"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odnosi na rashode financirane vlastitim i namjenskoj prihodima proračunskih korisnika.</w:t>
      </w:r>
    </w:p>
    <w:p w14:paraId="0CD646B5" w14:textId="77777777" w:rsidR="002E5D8E" w:rsidRPr="00A17B6F" w:rsidRDefault="002E5D8E" w:rsidP="002E5D8E">
      <w:pPr>
        <w:numPr>
          <w:ilvl w:val="12"/>
          <w:numId w:val="0"/>
        </w:numPr>
        <w:spacing w:after="0" w:line="240" w:lineRule="auto"/>
        <w:ind w:left="1260" w:hanging="1440"/>
        <w:rPr>
          <w:rFonts w:ascii="Arial" w:eastAsia="Times New Roman" w:hAnsi="Arial" w:cs="Times New Roman"/>
          <w:bCs/>
          <w:sz w:val="10"/>
          <w:szCs w:val="10"/>
          <w:lang w:eastAsia="hr-HR"/>
        </w:rPr>
      </w:pPr>
    </w:p>
    <w:p w14:paraId="54913E3A" w14:textId="1B279D6A" w:rsidR="00D068BA" w:rsidRPr="00A17B6F" w:rsidRDefault="002E5D8E" w:rsidP="002E5D8E">
      <w:pPr>
        <w:spacing w:after="0" w:line="240" w:lineRule="auto"/>
        <w:ind w:firstLine="708"/>
        <w:jc w:val="both"/>
        <w:rPr>
          <w:rFonts w:ascii="Arial" w:eastAsia="Times New Roman" w:hAnsi="Arial" w:cs="Times New Roman"/>
          <w:bCs/>
          <w:sz w:val="24"/>
          <w:szCs w:val="24"/>
          <w:lang w:eastAsia="hr-HR"/>
        </w:rPr>
      </w:pPr>
      <w:r w:rsidRPr="00A17B6F">
        <w:rPr>
          <w:rFonts w:ascii="Arial" w:eastAsia="Times New Roman" w:hAnsi="Arial" w:cs="Times New Roman"/>
          <w:b/>
          <w:bCs/>
          <w:sz w:val="24"/>
          <w:szCs w:val="24"/>
          <w:lang w:eastAsia="hr-HR"/>
        </w:rPr>
        <w:t>Rashodi za zaposlene</w:t>
      </w:r>
      <w:r w:rsidRPr="00A17B6F">
        <w:rPr>
          <w:rFonts w:ascii="Arial" w:eastAsia="Times New Roman" w:hAnsi="Arial" w:cs="Times New Roman"/>
          <w:bCs/>
          <w:sz w:val="24"/>
          <w:szCs w:val="24"/>
          <w:lang w:eastAsia="hr-HR"/>
        </w:rPr>
        <w:t xml:space="preserve"> u prvoj polovici 202</w:t>
      </w:r>
      <w:r w:rsidR="008C759D" w:rsidRPr="00A17B6F">
        <w:rPr>
          <w:rFonts w:ascii="Arial" w:eastAsia="Times New Roman" w:hAnsi="Arial" w:cs="Times New Roman"/>
          <w:bCs/>
          <w:sz w:val="24"/>
          <w:szCs w:val="24"/>
          <w:lang w:eastAsia="hr-HR"/>
        </w:rPr>
        <w:t>4</w:t>
      </w:r>
      <w:r w:rsidRPr="00A17B6F">
        <w:rPr>
          <w:rFonts w:ascii="Arial" w:eastAsia="Times New Roman" w:hAnsi="Arial" w:cs="Times New Roman"/>
          <w:bCs/>
          <w:sz w:val="24"/>
          <w:szCs w:val="24"/>
          <w:lang w:eastAsia="hr-HR"/>
        </w:rPr>
        <w:t xml:space="preserve">. godine izvršeni su u iznosu </w:t>
      </w:r>
      <w:r w:rsidR="008C759D" w:rsidRPr="00A17B6F">
        <w:rPr>
          <w:rFonts w:ascii="Arial" w:eastAsia="Times New Roman" w:hAnsi="Arial" w:cs="Times New Roman"/>
          <w:bCs/>
          <w:sz w:val="24"/>
          <w:szCs w:val="24"/>
          <w:lang w:eastAsia="hr-HR"/>
        </w:rPr>
        <w:t>88.280.593,38</w:t>
      </w:r>
      <w:r w:rsidR="005D67D6"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odnosno </w:t>
      </w:r>
      <w:r w:rsidR="005D67D6" w:rsidRPr="00A17B6F">
        <w:rPr>
          <w:rFonts w:ascii="Arial" w:eastAsia="Times New Roman" w:hAnsi="Arial" w:cs="Times New Roman"/>
          <w:bCs/>
          <w:sz w:val="24"/>
          <w:szCs w:val="24"/>
          <w:lang w:eastAsia="hr-HR"/>
        </w:rPr>
        <w:t>49,</w:t>
      </w:r>
      <w:r w:rsidR="008C759D" w:rsidRPr="00A17B6F">
        <w:rPr>
          <w:rFonts w:ascii="Arial" w:eastAsia="Times New Roman" w:hAnsi="Arial" w:cs="Times New Roman"/>
          <w:bCs/>
          <w:sz w:val="24"/>
          <w:szCs w:val="24"/>
          <w:lang w:eastAsia="hr-HR"/>
        </w:rPr>
        <w:t>26</w:t>
      </w:r>
      <w:r w:rsidRPr="00A17B6F">
        <w:rPr>
          <w:rFonts w:ascii="Arial" w:eastAsia="Times New Roman" w:hAnsi="Arial" w:cs="Times New Roman"/>
          <w:bCs/>
          <w:sz w:val="24"/>
          <w:szCs w:val="24"/>
          <w:lang w:eastAsia="hr-HR"/>
        </w:rPr>
        <w:t xml:space="preserve">% u odnosu na godišnji plan i </w:t>
      </w:r>
      <w:r w:rsidR="00D068BA" w:rsidRPr="00A17B6F">
        <w:rPr>
          <w:rFonts w:ascii="Arial" w:eastAsia="Times New Roman" w:hAnsi="Arial" w:cs="Times New Roman"/>
          <w:bCs/>
          <w:sz w:val="24"/>
          <w:szCs w:val="24"/>
          <w:lang w:eastAsia="hr-HR"/>
        </w:rPr>
        <w:t xml:space="preserve">20.112.895,74 eura ili </w:t>
      </w:r>
      <w:r w:rsidR="008C759D" w:rsidRPr="00A17B6F">
        <w:rPr>
          <w:rFonts w:ascii="Arial" w:eastAsia="Times New Roman" w:hAnsi="Arial" w:cs="Times New Roman"/>
          <w:bCs/>
          <w:sz w:val="24"/>
          <w:szCs w:val="24"/>
          <w:lang w:eastAsia="hr-HR"/>
        </w:rPr>
        <w:t>29,51</w:t>
      </w:r>
      <w:r w:rsidRPr="00A17B6F">
        <w:rPr>
          <w:rFonts w:ascii="Arial" w:eastAsia="Times New Roman" w:hAnsi="Arial" w:cs="Times New Roman"/>
          <w:bCs/>
          <w:sz w:val="24"/>
          <w:szCs w:val="24"/>
          <w:lang w:eastAsia="hr-HR"/>
        </w:rPr>
        <w:t xml:space="preserve">% više nego u </w:t>
      </w:r>
      <w:r w:rsidRPr="00575CD1">
        <w:rPr>
          <w:rFonts w:ascii="Arial" w:eastAsia="Times New Roman" w:hAnsi="Arial" w:cs="Times New Roman"/>
          <w:bCs/>
          <w:sz w:val="24"/>
          <w:szCs w:val="24"/>
          <w:lang w:eastAsia="hr-HR"/>
        </w:rPr>
        <w:t xml:space="preserve">istom razdoblju prošle godine. Najveći razlog </w:t>
      </w:r>
      <w:r w:rsidR="001602D3" w:rsidRPr="00575CD1">
        <w:rPr>
          <w:rFonts w:ascii="Arial" w:eastAsia="Times New Roman" w:hAnsi="Arial" w:cs="Times New Roman"/>
          <w:bCs/>
          <w:sz w:val="24"/>
          <w:szCs w:val="24"/>
          <w:lang w:eastAsia="hr-HR"/>
        </w:rPr>
        <w:t xml:space="preserve">povećanja rashoda za zaposlene u odnosu na </w:t>
      </w:r>
      <w:r w:rsidR="00D068BA" w:rsidRPr="00575CD1">
        <w:rPr>
          <w:rFonts w:ascii="Arial" w:eastAsia="Times New Roman" w:hAnsi="Arial" w:cs="Times New Roman"/>
          <w:bCs/>
          <w:sz w:val="24"/>
          <w:szCs w:val="24"/>
          <w:lang w:eastAsia="hr-HR"/>
        </w:rPr>
        <w:t xml:space="preserve">prvu polovicu </w:t>
      </w:r>
      <w:r w:rsidR="001602D3" w:rsidRPr="00575CD1">
        <w:rPr>
          <w:rFonts w:ascii="Arial" w:eastAsia="Times New Roman" w:hAnsi="Arial" w:cs="Times New Roman"/>
          <w:bCs/>
          <w:sz w:val="24"/>
          <w:szCs w:val="24"/>
          <w:lang w:eastAsia="hr-HR"/>
        </w:rPr>
        <w:t>202</w:t>
      </w:r>
      <w:r w:rsidR="008C759D" w:rsidRPr="00575CD1">
        <w:rPr>
          <w:rFonts w:ascii="Arial" w:eastAsia="Times New Roman" w:hAnsi="Arial" w:cs="Times New Roman"/>
          <w:bCs/>
          <w:sz w:val="24"/>
          <w:szCs w:val="24"/>
          <w:lang w:eastAsia="hr-HR"/>
        </w:rPr>
        <w:t>3</w:t>
      </w:r>
      <w:r w:rsidR="001602D3" w:rsidRPr="00575CD1">
        <w:rPr>
          <w:rFonts w:ascii="Arial" w:eastAsia="Times New Roman" w:hAnsi="Arial" w:cs="Times New Roman"/>
          <w:bCs/>
          <w:sz w:val="24"/>
          <w:szCs w:val="24"/>
          <w:lang w:eastAsia="hr-HR"/>
        </w:rPr>
        <w:t>. godin</w:t>
      </w:r>
      <w:r w:rsidR="00D068BA" w:rsidRPr="00575CD1">
        <w:rPr>
          <w:rFonts w:ascii="Arial" w:eastAsia="Times New Roman" w:hAnsi="Arial" w:cs="Times New Roman"/>
          <w:bCs/>
          <w:sz w:val="24"/>
          <w:szCs w:val="24"/>
          <w:lang w:eastAsia="hr-HR"/>
        </w:rPr>
        <w:t>e</w:t>
      </w:r>
      <w:r w:rsidR="001602D3" w:rsidRPr="00575CD1">
        <w:rPr>
          <w:rFonts w:ascii="Arial" w:eastAsia="Times New Roman" w:hAnsi="Arial" w:cs="Times New Roman"/>
          <w:bCs/>
          <w:sz w:val="24"/>
          <w:szCs w:val="24"/>
          <w:lang w:eastAsia="hr-HR"/>
        </w:rPr>
        <w:t xml:space="preserve"> </w:t>
      </w:r>
      <w:r w:rsidRPr="00575CD1">
        <w:rPr>
          <w:rFonts w:ascii="Arial" w:eastAsia="Times New Roman" w:hAnsi="Arial" w:cs="Times New Roman"/>
          <w:bCs/>
          <w:sz w:val="24"/>
          <w:szCs w:val="24"/>
          <w:lang w:eastAsia="hr-HR"/>
        </w:rPr>
        <w:t xml:space="preserve">je povećanje osnovice za obračun plaća u javnim službama </w:t>
      </w:r>
      <w:r w:rsidR="008C759D" w:rsidRPr="00575CD1">
        <w:rPr>
          <w:rFonts w:ascii="Arial" w:eastAsia="Times New Roman" w:hAnsi="Arial" w:cs="Arial"/>
          <w:sz w:val="24"/>
          <w:szCs w:val="24"/>
          <w:lang w:eastAsia="hr-HR"/>
        </w:rPr>
        <w:t xml:space="preserve">u travnju i listopadu 2023. godine, te </w:t>
      </w:r>
      <w:r w:rsidR="008C759D" w:rsidRPr="00575CD1">
        <w:rPr>
          <w:rFonts w:ascii="Arial" w:eastAsia="Times New Roman" w:hAnsi="Arial" w:cs="Times New Roman"/>
          <w:sz w:val="24"/>
          <w:szCs w:val="24"/>
          <w:lang w:eastAsia="hr-HR"/>
        </w:rPr>
        <w:t>povećanja koeficijenata za obračun plaće zaposlenih u javnim službama u ožujku 2024. godine.</w:t>
      </w:r>
      <w:r w:rsidR="00D068BA" w:rsidRPr="00575CD1">
        <w:rPr>
          <w:rFonts w:ascii="Arial" w:eastAsia="Times New Roman" w:hAnsi="Arial" w:cs="Times New Roman"/>
          <w:sz w:val="24"/>
          <w:szCs w:val="24"/>
          <w:lang w:eastAsia="hr-HR"/>
        </w:rPr>
        <w:t xml:space="preserve"> </w:t>
      </w:r>
      <w:r w:rsidR="001602D3" w:rsidRPr="00A17B6F">
        <w:rPr>
          <w:rFonts w:ascii="Arial" w:eastAsia="Times New Roman" w:hAnsi="Arial" w:cs="Times New Roman"/>
          <w:bCs/>
          <w:sz w:val="24"/>
          <w:szCs w:val="24"/>
          <w:lang w:eastAsia="hr-HR"/>
        </w:rPr>
        <w:t xml:space="preserve">Upravo </w:t>
      </w:r>
      <w:r w:rsidR="00D068BA" w:rsidRPr="00A17B6F">
        <w:rPr>
          <w:rFonts w:ascii="Arial" w:eastAsia="Times New Roman" w:hAnsi="Arial" w:cs="Times New Roman"/>
          <w:bCs/>
          <w:sz w:val="24"/>
          <w:szCs w:val="24"/>
          <w:lang w:eastAsia="hr-HR"/>
        </w:rPr>
        <w:t>zbog navedenog</w:t>
      </w:r>
      <w:r w:rsidR="00131096">
        <w:rPr>
          <w:rFonts w:ascii="Arial" w:eastAsia="Times New Roman" w:hAnsi="Arial" w:cs="Times New Roman"/>
          <w:bCs/>
          <w:sz w:val="24"/>
          <w:szCs w:val="24"/>
          <w:lang w:eastAsia="hr-HR"/>
        </w:rPr>
        <w:t>,</w:t>
      </w:r>
      <w:r w:rsidR="00D068BA" w:rsidRPr="00A17B6F">
        <w:rPr>
          <w:rFonts w:ascii="Arial" w:eastAsia="Times New Roman" w:hAnsi="Arial" w:cs="Times New Roman"/>
          <w:bCs/>
          <w:sz w:val="24"/>
          <w:szCs w:val="24"/>
          <w:lang w:eastAsia="hr-HR"/>
        </w:rPr>
        <w:t xml:space="preserve"> </w:t>
      </w:r>
      <w:r w:rsidR="00131096">
        <w:rPr>
          <w:rFonts w:ascii="Arial" w:eastAsia="Times New Roman" w:hAnsi="Arial" w:cs="Times New Roman"/>
          <w:bCs/>
          <w:sz w:val="24"/>
          <w:szCs w:val="24"/>
          <w:lang w:eastAsia="hr-HR"/>
        </w:rPr>
        <w:t xml:space="preserve">povećani </w:t>
      </w:r>
      <w:r w:rsidR="001602D3" w:rsidRPr="00A17B6F">
        <w:rPr>
          <w:rFonts w:ascii="Arial" w:eastAsia="Times New Roman" w:hAnsi="Arial" w:cs="Times New Roman"/>
          <w:bCs/>
          <w:sz w:val="24"/>
          <w:szCs w:val="24"/>
          <w:lang w:eastAsia="hr-HR"/>
        </w:rPr>
        <w:t>rashodi za zaposlene kod proračunskih korisnika financirane iz njihovih vlastitih i namjenskih prihoda</w:t>
      </w:r>
      <w:r w:rsidR="00575CD1">
        <w:rPr>
          <w:rFonts w:ascii="Arial" w:eastAsia="Times New Roman" w:hAnsi="Arial" w:cs="Times New Roman"/>
          <w:bCs/>
          <w:sz w:val="24"/>
          <w:szCs w:val="24"/>
          <w:lang w:eastAsia="hr-HR"/>
        </w:rPr>
        <w:t xml:space="preserve"> </w:t>
      </w:r>
      <w:r w:rsidR="00575CD1" w:rsidRPr="00A17B6F">
        <w:rPr>
          <w:rFonts w:ascii="Arial" w:eastAsia="Times New Roman" w:hAnsi="Arial" w:cs="Times New Roman"/>
          <w:bCs/>
          <w:sz w:val="24"/>
          <w:szCs w:val="24"/>
          <w:lang w:eastAsia="hr-HR"/>
        </w:rPr>
        <w:t>(17.272.781,33 eura)</w:t>
      </w:r>
      <w:r w:rsidR="001602D3" w:rsidRPr="00A17B6F">
        <w:rPr>
          <w:rFonts w:ascii="Arial" w:eastAsia="Times New Roman" w:hAnsi="Arial" w:cs="Times New Roman"/>
          <w:bCs/>
          <w:sz w:val="24"/>
          <w:szCs w:val="24"/>
          <w:lang w:eastAsia="hr-HR"/>
        </w:rPr>
        <w:t xml:space="preserve"> čine i najveći dio </w:t>
      </w:r>
      <w:r w:rsidR="00D068BA" w:rsidRPr="00A17B6F">
        <w:rPr>
          <w:rFonts w:ascii="Arial" w:eastAsia="Times New Roman" w:hAnsi="Arial" w:cs="Times New Roman"/>
          <w:bCs/>
          <w:sz w:val="24"/>
          <w:szCs w:val="24"/>
          <w:lang w:eastAsia="hr-HR"/>
        </w:rPr>
        <w:t>najveći dio</w:t>
      </w:r>
      <w:r w:rsidR="00575CD1">
        <w:rPr>
          <w:rFonts w:ascii="Arial" w:eastAsia="Times New Roman" w:hAnsi="Arial" w:cs="Times New Roman"/>
          <w:bCs/>
          <w:sz w:val="24"/>
          <w:szCs w:val="24"/>
          <w:lang w:eastAsia="hr-HR"/>
        </w:rPr>
        <w:t xml:space="preserve"> spomenutog</w:t>
      </w:r>
      <w:r w:rsidR="00D068BA" w:rsidRPr="00A17B6F">
        <w:rPr>
          <w:rFonts w:ascii="Arial" w:eastAsia="Times New Roman" w:hAnsi="Arial" w:cs="Times New Roman"/>
          <w:bCs/>
          <w:sz w:val="24"/>
          <w:szCs w:val="24"/>
          <w:lang w:eastAsia="hr-HR"/>
        </w:rPr>
        <w:t xml:space="preserve"> </w:t>
      </w:r>
      <w:r w:rsidR="00131096">
        <w:rPr>
          <w:rFonts w:ascii="Arial" w:eastAsia="Times New Roman" w:hAnsi="Arial" w:cs="Times New Roman"/>
          <w:bCs/>
          <w:sz w:val="24"/>
          <w:szCs w:val="24"/>
          <w:lang w:eastAsia="hr-HR"/>
        </w:rPr>
        <w:t xml:space="preserve">ukupnog </w:t>
      </w:r>
      <w:r w:rsidR="00D068BA" w:rsidRPr="00A17B6F">
        <w:rPr>
          <w:rFonts w:ascii="Arial" w:eastAsia="Times New Roman" w:hAnsi="Arial" w:cs="Times New Roman"/>
          <w:bCs/>
          <w:sz w:val="24"/>
          <w:szCs w:val="24"/>
          <w:lang w:eastAsia="hr-HR"/>
        </w:rPr>
        <w:t xml:space="preserve">povećanja </w:t>
      </w:r>
      <w:r w:rsidR="00131096">
        <w:rPr>
          <w:rFonts w:ascii="Arial" w:eastAsia="Times New Roman" w:hAnsi="Arial" w:cs="Times New Roman"/>
          <w:bCs/>
          <w:sz w:val="24"/>
          <w:szCs w:val="24"/>
          <w:lang w:eastAsia="hr-HR"/>
        </w:rPr>
        <w:t xml:space="preserve">na razini konsolidiranog proračuna </w:t>
      </w:r>
      <w:r w:rsidR="00D068BA" w:rsidRPr="00A17B6F">
        <w:rPr>
          <w:rFonts w:ascii="Arial" w:eastAsia="Times New Roman" w:hAnsi="Arial" w:cs="Times New Roman"/>
          <w:bCs/>
          <w:sz w:val="24"/>
          <w:szCs w:val="24"/>
          <w:lang w:eastAsia="hr-HR"/>
        </w:rPr>
        <w:t xml:space="preserve">u odnosu na isto razdoblje prethodne godine. </w:t>
      </w:r>
      <w:r w:rsidR="00575CD1">
        <w:rPr>
          <w:rFonts w:ascii="Arial" w:eastAsia="Times New Roman" w:hAnsi="Arial" w:cs="Times New Roman"/>
          <w:bCs/>
          <w:sz w:val="24"/>
          <w:szCs w:val="24"/>
          <w:lang w:eastAsia="hr-HR"/>
        </w:rPr>
        <w:t>U</w:t>
      </w:r>
      <w:r w:rsidR="00717A50" w:rsidRPr="00A17B6F">
        <w:rPr>
          <w:rFonts w:ascii="Arial" w:eastAsia="Times New Roman" w:hAnsi="Arial" w:cs="Times New Roman"/>
          <w:bCs/>
          <w:sz w:val="24"/>
          <w:szCs w:val="24"/>
          <w:lang w:eastAsia="hr-HR"/>
        </w:rPr>
        <w:t xml:space="preserve"> prvoj polovici ove godine proračunski korisnici su na teret vlastitih i namjenskih prihoda i primitaka ostvarili sljedeće rashode za zaposlene: ustanove školstva 41.113.457,14 eura (povećanje od 8.713.509,96 eura u odnosu na 2023. godinu), zdravstvene ustanove 34.154.160,86 eura (povećanje od 8.267.723,38 eura u odnosu na 2023. godinu), ustanove socijalne skrbi 2.439.462,92 eura (povećanje od </w:t>
      </w:r>
      <w:r w:rsidR="00BF54DD">
        <w:rPr>
          <w:rFonts w:ascii="Arial" w:eastAsia="Times New Roman" w:hAnsi="Arial" w:cs="Times New Roman"/>
          <w:bCs/>
          <w:sz w:val="24"/>
          <w:szCs w:val="24"/>
          <w:lang w:eastAsia="hr-HR"/>
        </w:rPr>
        <w:t>448.605,54</w:t>
      </w:r>
      <w:r w:rsidR="00717A50" w:rsidRPr="00A17B6F">
        <w:rPr>
          <w:rFonts w:ascii="Arial" w:eastAsia="Times New Roman" w:hAnsi="Arial" w:cs="Times New Roman"/>
          <w:bCs/>
          <w:sz w:val="24"/>
          <w:szCs w:val="24"/>
          <w:lang w:eastAsia="hr-HR"/>
        </w:rPr>
        <w:t xml:space="preserve"> eura u odnosu na 2023. godinu), ustanove u kulturi 15.892,11 eura (smanjenje od 7.824,34 eura u odnosu na 2023. godinu), Regionalna razvojna agencija PGŽ </w:t>
      </w:r>
      <w:r w:rsidR="00750667" w:rsidRPr="00A17B6F">
        <w:rPr>
          <w:rFonts w:ascii="Arial" w:eastAsia="Times New Roman" w:hAnsi="Arial" w:cs="Times New Roman"/>
          <w:bCs/>
          <w:sz w:val="24"/>
          <w:szCs w:val="24"/>
          <w:lang w:eastAsia="hr-HR"/>
        </w:rPr>
        <w:t xml:space="preserve">20.246,83 eura (smanjenje od 138.504,45 eura u odnosu na 2023. godinu), i Regionalna energetska agencija 7.260,58 eura (smanjenje od </w:t>
      </w:r>
      <w:r w:rsidR="00BF54DD">
        <w:rPr>
          <w:rFonts w:ascii="Arial" w:eastAsia="Times New Roman" w:hAnsi="Arial" w:cs="Times New Roman"/>
          <w:bCs/>
          <w:sz w:val="24"/>
          <w:szCs w:val="24"/>
          <w:lang w:eastAsia="hr-HR"/>
        </w:rPr>
        <w:t>3.095,34</w:t>
      </w:r>
      <w:r w:rsidR="00750667" w:rsidRPr="00A17B6F">
        <w:rPr>
          <w:rFonts w:ascii="Arial" w:eastAsia="Times New Roman" w:hAnsi="Arial" w:cs="Times New Roman"/>
          <w:bCs/>
          <w:sz w:val="24"/>
          <w:szCs w:val="24"/>
          <w:lang w:eastAsia="hr-HR"/>
        </w:rPr>
        <w:t xml:space="preserve"> eura u odnosu na 2023. godinu).</w:t>
      </w:r>
    </w:p>
    <w:p w14:paraId="06A21414" w14:textId="77777777" w:rsidR="00D068BA" w:rsidRPr="00A17B6F" w:rsidRDefault="00D068BA" w:rsidP="002E5D8E">
      <w:pPr>
        <w:spacing w:after="0" w:line="240" w:lineRule="auto"/>
        <w:ind w:firstLine="708"/>
        <w:jc w:val="both"/>
        <w:rPr>
          <w:rFonts w:ascii="Arial" w:eastAsia="Times New Roman" w:hAnsi="Arial" w:cs="Times New Roman"/>
          <w:bCs/>
          <w:sz w:val="24"/>
          <w:szCs w:val="24"/>
          <w:lang w:eastAsia="hr-HR"/>
        </w:rPr>
      </w:pPr>
    </w:p>
    <w:p w14:paraId="5C69AD6B" w14:textId="6A152EF5" w:rsidR="00DD1A06" w:rsidRPr="00A17B6F" w:rsidRDefault="002E5D8E" w:rsidP="002E5D8E">
      <w:pPr>
        <w:spacing w:after="0" w:line="240" w:lineRule="auto"/>
        <w:ind w:firstLine="708"/>
        <w:jc w:val="both"/>
        <w:rPr>
          <w:rFonts w:ascii="Arial" w:eastAsia="Times New Roman" w:hAnsi="Arial" w:cs="Times New Roman"/>
          <w:bCs/>
          <w:sz w:val="24"/>
          <w:szCs w:val="24"/>
          <w:lang w:eastAsia="hr-HR"/>
        </w:rPr>
      </w:pPr>
      <w:r w:rsidRPr="00A17B6F">
        <w:rPr>
          <w:rFonts w:ascii="Arial" w:eastAsia="Times New Roman" w:hAnsi="Arial" w:cs="Times New Roman"/>
          <w:bCs/>
          <w:sz w:val="24"/>
          <w:szCs w:val="24"/>
          <w:lang w:eastAsia="hr-HR"/>
        </w:rPr>
        <w:t xml:space="preserve">Rashodi za zaposlene u županijskoj upravi izvršeni su u iznosu </w:t>
      </w:r>
      <w:r w:rsidR="00750667" w:rsidRPr="00A17B6F">
        <w:rPr>
          <w:rFonts w:ascii="Arial" w:eastAsia="Times New Roman" w:hAnsi="Arial" w:cs="Times New Roman"/>
          <w:bCs/>
          <w:sz w:val="24"/>
          <w:szCs w:val="24"/>
          <w:lang w:eastAsia="hr-HR"/>
        </w:rPr>
        <w:t>4.957.266,30</w:t>
      </w:r>
      <w:r w:rsidR="00DD1A06"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što je </w:t>
      </w:r>
      <w:r w:rsidR="00750667" w:rsidRPr="00A17B6F">
        <w:rPr>
          <w:rFonts w:ascii="Arial" w:eastAsia="Times New Roman" w:hAnsi="Arial" w:cs="Times New Roman"/>
          <w:bCs/>
          <w:sz w:val="24"/>
          <w:szCs w:val="24"/>
          <w:lang w:eastAsia="hr-HR"/>
        </w:rPr>
        <w:t>44,28</w:t>
      </w:r>
      <w:r w:rsidR="00DD1A06" w:rsidRPr="00A17B6F">
        <w:rPr>
          <w:rFonts w:ascii="Arial" w:eastAsia="Times New Roman" w:hAnsi="Arial" w:cs="Times New Roman"/>
          <w:bCs/>
          <w:sz w:val="24"/>
          <w:szCs w:val="24"/>
          <w:lang w:eastAsia="hr-HR"/>
        </w:rPr>
        <w:t>%</w:t>
      </w:r>
      <w:r w:rsidRPr="00A17B6F">
        <w:rPr>
          <w:rFonts w:ascii="Arial" w:eastAsia="Times New Roman" w:hAnsi="Arial" w:cs="Times New Roman"/>
          <w:bCs/>
          <w:sz w:val="24"/>
          <w:szCs w:val="24"/>
          <w:lang w:eastAsia="hr-HR"/>
        </w:rPr>
        <w:t xml:space="preserve">% godišnjeg plana, odnosno </w:t>
      </w:r>
      <w:r w:rsidR="00750667" w:rsidRPr="00A17B6F">
        <w:rPr>
          <w:rFonts w:ascii="Arial" w:eastAsia="Times New Roman" w:hAnsi="Arial" w:cs="Times New Roman"/>
          <w:bCs/>
          <w:sz w:val="24"/>
          <w:szCs w:val="24"/>
          <w:lang w:eastAsia="hr-HR"/>
        </w:rPr>
        <w:t>17,2</w:t>
      </w:r>
      <w:r w:rsidR="00DD1A06" w:rsidRPr="00A17B6F">
        <w:rPr>
          <w:rFonts w:ascii="Arial" w:eastAsia="Times New Roman" w:hAnsi="Arial" w:cs="Times New Roman"/>
          <w:bCs/>
          <w:sz w:val="24"/>
          <w:szCs w:val="24"/>
          <w:lang w:eastAsia="hr-HR"/>
        </w:rPr>
        <w:t>%</w:t>
      </w:r>
      <w:r w:rsidRPr="00A17B6F">
        <w:rPr>
          <w:rFonts w:ascii="Arial" w:eastAsia="Times New Roman" w:hAnsi="Arial" w:cs="Times New Roman"/>
          <w:bCs/>
          <w:sz w:val="24"/>
          <w:szCs w:val="24"/>
          <w:lang w:eastAsia="hr-HR"/>
        </w:rPr>
        <w:t xml:space="preserve"> više u odnosu na isto razdoblje prošle godine. Navedeno povećanje, u odnosu na prethodnu godinu, posljedica</w:t>
      </w:r>
      <w:r w:rsidR="00D84847" w:rsidRPr="00A17B6F">
        <w:rPr>
          <w:rFonts w:ascii="Arial" w:eastAsia="Times New Roman" w:hAnsi="Arial" w:cs="Times New Roman"/>
          <w:bCs/>
          <w:sz w:val="24"/>
          <w:szCs w:val="24"/>
          <w:lang w:eastAsia="hr-HR"/>
        </w:rPr>
        <w:t xml:space="preserve"> je</w:t>
      </w:r>
      <w:r w:rsidR="00DD1A06" w:rsidRPr="00A17B6F">
        <w:rPr>
          <w:rFonts w:ascii="Arial" w:eastAsia="Times New Roman" w:hAnsi="Arial" w:cs="Times New Roman"/>
          <w:bCs/>
          <w:sz w:val="24"/>
          <w:szCs w:val="24"/>
          <w:lang w:eastAsia="hr-HR"/>
        </w:rPr>
        <w:t xml:space="preserve"> povećanja osnovice za obračun plaća službenika </w:t>
      </w:r>
      <w:r w:rsidR="000736F6" w:rsidRPr="00A17B6F">
        <w:rPr>
          <w:rFonts w:ascii="Arial" w:eastAsia="Times New Roman" w:hAnsi="Arial" w:cs="Times New Roman"/>
          <w:bCs/>
          <w:sz w:val="24"/>
          <w:szCs w:val="24"/>
          <w:lang w:eastAsia="hr-HR"/>
        </w:rPr>
        <w:t>u drugoj polo</w:t>
      </w:r>
      <w:r w:rsidR="00D84847" w:rsidRPr="00A17B6F">
        <w:rPr>
          <w:rFonts w:ascii="Arial" w:eastAsia="Times New Roman" w:hAnsi="Arial" w:cs="Times New Roman"/>
          <w:bCs/>
          <w:sz w:val="24"/>
          <w:szCs w:val="24"/>
          <w:lang w:eastAsia="hr-HR"/>
        </w:rPr>
        <w:t>vici 202</w:t>
      </w:r>
      <w:r w:rsidR="00750667" w:rsidRPr="00A17B6F">
        <w:rPr>
          <w:rFonts w:ascii="Arial" w:eastAsia="Times New Roman" w:hAnsi="Arial" w:cs="Times New Roman"/>
          <w:bCs/>
          <w:sz w:val="24"/>
          <w:szCs w:val="24"/>
          <w:lang w:eastAsia="hr-HR"/>
        </w:rPr>
        <w:t>3</w:t>
      </w:r>
      <w:r w:rsidR="00D84847" w:rsidRPr="00A17B6F">
        <w:rPr>
          <w:rFonts w:ascii="Arial" w:eastAsia="Times New Roman" w:hAnsi="Arial" w:cs="Times New Roman"/>
          <w:bCs/>
          <w:sz w:val="24"/>
          <w:szCs w:val="24"/>
          <w:lang w:eastAsia="hr-HR"/>
        </w:rPr>
        <w:t>. godine</w:t>
      </w:r>
      <w:r w:rsidR="00750667" w:rsidRPr="00A17B6F">
        <w:rPr>
          <w:rFonts w:ascii="Arial" w:eastAsia="Times New Roman" w:hAnsi="Arial" w:cs="Times New Roman"/>
          <w:bCs/>
          <w:sz w:val="24"/>
          <w:szCs w:val="24"/>
          <w:lang w:eastAsia="hr-HR"/>
        </w:rPr>
        <w:t xml:space="preserve"> (4%), u siječnju 2024. godine (3,0%), povećanog broja zaposlenih u odnosu na isto razdoblje prethodne godine, povećanja </w:t>
      </w:r>
      <w:r w:rsidR="00750667" w:rsidRPr="00A17B6F">
        <w:rPr>
          <w:rFonts w:ascii="Arial" w:eastAsia="Times New Roman" w:hAnsi="Arial" w:cs="Times New Roman"/>
          <w:bCs/>
          <w:sz w:val="24"/>
          <w:szCs w:val="24"/>
          <w:lang w:eastAsia="hr-HR"/>
        </w:rPr>
        <w:lastRenderedPageBreak/>
        <w:t>koeficijenata za obračun plaće službenika i namještenika u upravnim tijelima Primorsko-goranske županije u travnju 2024. godine</w:t>
      </w:r>
      <w:r w:rsidR="003D7DF6" w:rsidRPr="00A17B6F">
        <w:rPr>
          <w:rFonts w:ascii="Arial" w:eastAsia="Times New Roman" w:hAnsi="Arial" w:cs="Times New Roman"/>
          <w:bCs/>
          <w:sz w:val="24"/>
          <w:szCs w:val="24"/>
          <w:lang w:eastAsia="hr-HR"/>
        </w:rPr>
        <w:t>,</w:t>
      </w:r>
      <w:r w:rsidR="00D84847" w:rsidRPr="00A17B6F">
        <w:rPr>
          <w:rFonts w:ascii="Arial" w:eastAsia="Times New Roman" w:hAnsi="Arial" w:cs="Times New Roman"/>
          <w:bCs/>
          <w:sz w:val="24"/>
          <w:szCs w:val="24"/>
          <w:lang w:eastAsia="hr-HR"/>
        </w:rPr>
        <w:t xml:space="preserve"> </w:t>
      </w:r>
      <w:r w:rsidR="000736F6" w:rsidRPr="00A17B6F">
        <w:rPr>
          <w:rFonts w:ascii="Arial" w:eastAsia="Times New Roman" w:hAnsi="Arial" w:cs="Times New Roman"/>
          <w:bCs/>
          <w:sz w:val="24"/>
          <w:szCs w:val="24"/>
          <w:lang w:eastAsia="hr-HR"/>
        </w:rPr>
        <w:t>zakonskog uvećanja plaće za 0,5%</w:t>
      </w:r>
      <w:r w:rsidR="00D84847" w:rsidRPr="00A17B6F">
        <w:rPr>
          <w:rFonts w:ascii="Arial" w:eastAsia="Times New Roman" w:hAnsi="Arial" w:cs="Times New Roman"/>
          <w:bCs/>
          <w:sz w:val="24"/>
          <w:szCs w:val="24"/>
          <w:lang w:eastAsia="hr-HR"/>
        </w:rPr>
        <w:t xml:space="preserve"> za svaku navršenu godinu staža</w:t>
      </w:r>
      <w:r w:rsidR="003D7DF6" w:rsidRPr="00A17B6F">
        <w:rPr>
          <w:rFonts w:ascii="Arial" w:eastAsia="Times New Roman" w:hAnsi="Arial" w:cs="Times New Roman"/>
          <w:bCs/>
          <w:sz w:val="24"/>
          <w:szCs w:val="24"/>
          <w:lang w:eastAsia="hr-HR"/>
        </w:rPr>
        <w:t xml:space="preserve"> te</w:t>
      </w:r>
      <w:r w:rsidR="00750667" w:rsidRPr="00A17B6F">
        <w:rPr>
          <w:rFonts w:ascii="Arial" w:eastAsia="Times New Roman" w:hAnsi="Arial" w:cs="Times New Roman"/>
          <w:bCs/>
          <w:sz w:val="24"/>
          <w:szCs w:val="24"/>
          <w:lang w:eastAsia="hr-HR"/>
        </w:rPr>
        <w:t xml:space="preserve"> </w:t>
      </w:r>
      <w:r w:rsidR="00D84847" w:rsidRPr="00A17B6F">
        <w:rPr>
          <w:rFonts w:ascii="Arial" w:eastAsia="Times New Roman" w:hAnsi="Arial" w:cs="Times New Roman"/>
          <w:bCs/>
          <w:sz w:val="24"/>
          <w:szCs w:val="24"/>
          <w:lang w:eastAsia="hr-HR"/>
        </w:rPr>
        <w:t>povećanja neoporezivih primitaka temeljem Izmjena Pravilnika o porezu na dohodak.</w:t>
      </w:r>
    </w:p>
    <w:p w14:paraId="630957C0" w14:textId="4A8B0A3D" w:rsidR="002E5D8E" w:rsidRPr="00A17B6F" w:rsidRDefault="002E5D8E" w:rsidP="002E5D8E">
      <w:pPr>
        <w:spacing w:after="0" w:line="240" w:lineRule="auto"/>
        <w:ind w:firstLine="708"/>
        <w:jc w:val="both"/>
        <w:rPr>
          <w:rFonts w:ascii="Arial" w:eastAsia="Times New Roman" w:hAnsi="Arial" w:cs="Times New Roman"/>
          <w:bCs/>
          <w:sz w:val="24"/>
          <w:szCs w:val="24"/>
          <w:lang w:eastAsia="hr-HR"/>
        </w:rPr>
      </w:pPr>
      <w:r w:rsidRPr="00A17B6F">
        <w:rPr>
          <w:rFonts w:ascii="Arial" w:eastAsia="Times New Roman" w:hAnsi="Arial" w:cs="Times New Roman"/>
          <w:bCs/>
          <w:sz w:val="24"/>
          <w:szCs w:val="24"/>
          <w:lang w:eastAsia="hr-HR"/>
        </w:rPr>
        <w:t xml:space="preserve">Isto tako, u prvoj polovici godine, na teret županijskih izvora izvršeno je </w:t>
      </w:r>
      <w:r w:rsidR="00D75E06" w:rsidRPr="00A17B6F">
        <w:rPr>
          <w:rFonts w:ascii="Arial" w:eastAsia="Times New Roman" w:hAnsi="Arial" w:cs="Times New Roman"/>
          <w:bCs/>
          <w:sz w:val="24"/>
          <w:szCs w:val="24"/>
          <w:lang w:eastAsia="hr-HR"/>
        </w:rPr>
        <w:t>5.572.846,64</w:t>
      </w:r>
      <w:r w:rsidR="0037113F"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rashoda za zaposlene </w:t>
      </w:r>
      <w:r w:rsidR="0037113F" w:rsidRPr="00A17B6F">
        <w:rPr>
          <w:rFonts w:ascii="Arial" w:eastAsia="Times New Roman" w:hAnsi="Arial" w:cs="Times New Roman"/>
          <w:bCs/>
          <w:sz w:val="24"/>
          <w:szCs w:val="24"/>
          <w:lang w:eastAsia="hr-HR"/>
        </w:rPr>
        <w:t xml:space="preserve">kod </w:t>
      </w:r>
      <w:r w:rsidRPr="00A17B6F">
        <w:rPr>
          <w:rFonts w:ascii="Arial" w:eastAsia="Times New Roman" w:hAnsi="Arial" w:cs="Times New Roman"/>
          <w:bCs/>
          <w:sz w:val="24"/>
          <w:szCs w:val="24"/>
          <w:lang w:eastAsia="hr-HR"/>
        </w:rPr>
        <w:t xml:space="preserve">županijskih proračunskih korisnika. Navedeni iznos odnosi se kako slijedi: </w:t>
      </w:r>
      <w:r w:rsidR="00D75E06" w:rsidRPr="00A17B6F">
        <w:rPr>
          <w:rFonts w:ascii="Arial" w:eastAsia="Times New Roman" w:hAnsi="Arial" w:cs="Times New Roman"/>
          <w:bCs/>
          <w:sz w:val="24"/>
          <w:szCs w:val="24"/>
          <w:lang w:eastAsia="hr-HR"/>
        </w:rPr>
        <w:t>1.992.232,21</w:t>
      </w:r>
      <w:r w:rsidR="0037113F"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zdravstvene ustanove, </w:t>
      </w:r>
      <w:r w:rsidR="00D75E06" w:rsidRPr="00A17B6F">
        <w:rPr>
          <w:rFonts w:ascii="Arial" w:eastAsia="Times New Roman" w:hAnsi="Arial" w:cs="Times New Roman"/>
          <w:bCs/>
          <w:sz w:val="24"/>
          <w:szCs w:val="24"/>
          <w:lang w:eastAsia="hr-HR"/>
        </w:rPr>
        <w:t>1.389.875,05</w:t>
      </w:r>
      <w:r w:rsidR="0037113F"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ustanove socijalne skrbi, </w:t>
      </w:r>
      <w:r w:rsidR="00D75E06" w:rsidRPr="00A17B6F">
        <w:rPr>
          <w:rFonts w:ascii="Arial" w:eastAsia="Times New Roman" w:hAnsi="Arial" w:cs="Times New Roman"/>
          <w:bCs/>
          <w:sz w:val="24"/>
          <w:szCs w:val="24"/>
          <w:lang w:eastAsia="hr-HR"/>
        </w:rPr>
        <w:t>620.218,20</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ustanove u kulturi, </w:t>
      </w:r>
      <w:r w:rsidR="00D75E06" w:rsidRPr="00A17B6F">
        <w:rPr>
          <w:rFonts w:ascii="Arial" w:eastAsia="Times New Roman" w:hAnsi="Arial" w:cs="Times New Roman"/>
          <w:bCs/>
          <w:sz w:val="24"/>
          <w:szCs w:val="24"/>
          <w:lang w:eastAsia="hr-HR"/>
        </w:rPr>
        <w:t>707.847,20</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ustanove školstva, </w:t>
      </w:r>
      <w:bookmarkStart w:id="0" w:name="_Hlk79756868"/>
      <w:r w:rsidR="00D75E06" w:rsidRPr="00A17B6F">
        <w:rPr>
          <w:rFonts w:ascii="Arial" w:eastAsia="Times New Roman" w:hAnsi="Arial" w:cs="Times New Roman"/>
          <w:bCs/>
          <w:sz w:val="24"/>
          <w:szCs w:val="24"/>
          <w:lang w:eastAsia="hr-HR"/>
        </w:rPr>
        <w:t>317.057,89</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Zavod za prostorno uređenje, </w:t>
      </w:r>
      <w:bookmarkEnd w:id="0"/>
      <w:r w:rsidR="00D75E06" w:rsidRPr="00A17B6F">
        <w:rPr>
          <w:rFonts w:ascii="Arial" w:eastAsia="Times New Roman" w:hAnsi="Arial" w:cs="Times New Roman"/>
          <w:bCs/>
          <w:sz w:val="24"/>
          <w:szCs w:val="24"/>
          <w:lang w:eastAsia="hr-HR"/>
        </w:rPr>
        <w:t>154.106,47</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JU Priroda, </w:t>
      </w:r>
      <w:r w:rsidR="00D75E06" w:rsidRPr="00A17B6F">
        <w:rPr>
          <w:rFonts w:ascii="Arial" w:eastAsia="Times New Roman" w:hAnsi="Arial" w:cs="Times New Roman"/>
          <w:bCs/>
          <w:sz w:val="24"/>
          <w:szCs w:val="24"/>
          <w:lang w:eastAsia="hr-HR"/>
        </w:rPr>
        <w:t>77.938,76</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Centar za poljoprivre</w:t>
      </w:r>
      <w:r w:rsidR="0052517B" w:rsidRPr="00A17B6F">
        <w:rPr>
          <w:rFonts w:ascii="Arial" w:eastAsia="Times New Roman" w:hAnsi="Arial" w:cs="Times New Roman"/>
          <w:bCs/>
          <w:sz w:val="24"/>
          <w:szCs w:val="24"/>
          <w:lang w:eastAsia="hr-HR"/>
        </w:rPr>
        <w:t>du i ruralni razvoj</w:t>
      </w:r>
      <w:r w:rsidR="00575CD1">
        <w:rPr>
          <w:rFonts w:ascii="Arial" w:eastAsia="Times New Roman" w:hAnsi="Arial" w:cs="Times New Roman"/>
          <w:bCs/>
          <w:sz w:val="24"/>
          <w:szCs w:val="24"/>
          <w:lang w:eastAsia="hr-HR"/>
        </w:rPr>
        <w:t>,</w:t>
      </w:r>
      <w:r w:rsidRPr="00A17B6F">
        <w:rPr>
          <w:rFonts w:ascii="Arial" w:eastAsia="Times New Roman" w:hAnsi="Arial" w:cs="Times New Roman"/>
          <w:bCs/>
          <w:sz w:val="24"/>
          <w:szCs w:val="24"/>
          <w:lang w:eastAsia="hr-HR"/>
        </w:rPr>
        <w:t xml:space="preserve"> </w:t>
      </w:r>
      <w:r w:rsidR="00D75E06" w:rsidRPr="00A17B6F">
        <w:rPr>
          <w:rFonts w:ascii="Arial" w:eastAsia="Times New Roman" w:hAnsi="Arial" w:cs="Times New Roman"/>
          <w:bCs/>
          <w:sz w:val="24"/>
          <w:szCs w:val="24"/>
          <w:lang w:eastAsia="hr-HR"/>
        </w:rPr>
        <w:t>227.913,46</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Regionalnu razvojnu agenciju PGŽ</w:t>
      </w:r>
      <w:r w:rsidR="00575CD1">
        <w:rPr>
          <w:rFonts w:ascii="Arial" w:eastAsia="Times New Roman" w:hAnsi="Arial" w:cs="Times New Roman"/>
          <w:bCs/>
          <w:sz w:val="24"/>
          <w:szCs w:val="24"/>
          <w:lang w:eastAsia="hr-HR"/>
        </w:rPr>
        <w:t xml:space="preserve"> te</w:t>
      </w:r>
      <w:r w:rsidRPr="00A17B6F">
        <w:rPr>
          <w:rFonts w:ascii="Arial" w:eastAsia="Times New Roman" w:hAnsi="Arial" w:cs="Times New Roman"/>
          <w:bCs/>
          <w:sz w:val="24"/>
          <w:szCs w:val="24"/>
          <w:lang w:eastAsia="hr-HR"/>
        </w:rPr>
        <w:t xml:space="preserve"> </w:t>
      </w:r>
      <w:r w:rsidR="00D75E06" w:rsidRPr="00A17B6F">
        <w:rPr>
          <w:rFonts w:ascii="Arial" w:eastAsia="Times New Roman" w:hAnsi="Arial" w:cs="Times New Roman"/>
          <w:bCs/>
          <w:sz w:val="24"/>
          <w:szCs w:val="24"/>
          <w:lang w:eastAsia="hr-HR"/>
        </w:rPr>
        <w:t>83.864,39</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Regionalnu energetsku agenciju Kvarner</w:t>
      </w:r>
      <w:r w:rsidR="0052517B" w:rsidRPr="00A17B6F">
        <w:rPr>
          <w:rFonts w:ascii="Arial" w:eastAsia="Times New Roman" w:hAnsi="Arial" w:cs="Times New Roman"/>
          <w:bCs/>
          <w:sz w:val="24"/>
          <w:szCs w:val="24"/>
          <w:lang w:eastAsia="hr-HR"/>
        </w:rPr>
        <w:t xml:space="preserve">. </w:t>
      </w:r>
    </w:p>
    <w:p w14:paraId="78783D0F" w14:textId="77777777" w:rsidR="002E5D8E" w:rsidRPr="00A17B6F" w:rsidRDefault="002E5D8E" w:rsidP="002E5D8E">
      <w:pPr>
        <w:spacing w:after="0" w:line="240" w:lineRule="auto"/>
        <w:ind w:firstLine="708"/>
        <w:jc w:val="both"/>
        <w:rPr>
          <w:rFonts w:ascii="Arial" w:eastAsia="Times New Roman" w:hAnsi="Arial" w:cs="Times New Roman"/>
          <w:bCs/>
          <w:sz w:val="24"/>
          <w:szCs w:val="24"/>
          <w:lang w:eastAsia="hr-HR"/>
        </w:rPr>
      </w:pPr>
    </w:p>
    <w:p w14:paraId="539DEE96" w14:textId="3EAE1B62" w:rsidR="00FA255A" w:rsidRPr="00A17B6F" w:rsidRDefault="002E5D8E" w:rsidP="002E5D8E">
      <w:pPr>
        <w:spacing w:after="0" w:line="240" w:lineRule="auto"/>
        <w:ind w:firstLine="708"/>
        <w:jc w:val="both"/>
        <w:rPr>
          <w:rFonts w:ascii="Arial" w:eastAsia="Times New Roman" w:hAnsi="Arial" w:cs="Times New Roman"/>
          <w:bCs/>
          <w:sz w:val="24"/>
          <w:szCs w:val="24"/>
          <w:lang w:eastAsia="hr-HR"/>
        </w:rPr>
      </w:pPr>
      <w:r w:rsidRPr="00A17B6F">
        <w:rPr>
          <w:rFonts w:ascii="Arial" w:eastAsia="Times New Roman" w:hAnsi="Arial" w:cs="Times New Roman"/>
          <w:b/>
          <w:bCs/>
          <w:sz w:val="24"/>
          <w:szCs w:val="24"/>
          <w:lang w:eastAsia="hr-HR"/>
        </w:rPr>
        <w:t>Materijalni rashodi</w:t>
      </w:r>
      <w:r w:rsidRPr="00A17B6F">
        <w:rPr>
          <w:rFonts w:ascii="Arial" w:eastAsia="Times New Roman" w:hAnsi="Arial" w:cs="Times New Roman"/>
          <w:bCs/>
          <w:sz w:val="24"/>
          <w:szCs w:val="24"/>
          <w:lang w:eastAsia="hr-HR"/>
        </w:rPr>
        <w:t xml:space="preserve"> izvršeni su u prvom polugodištu 202</w:t>
      </w:r>
      <w:r w:rsidR="0074611D" w:rsidRPr="00A17B6F">
        <w:rPr>
          <w:rFonts w:ascii="Arial" w:eastAsia="Times New Roman" w:hAnsi="Arial" w:cs="Times New Roman"/>
          <w:bCs/>
          <w:sz w:val="24"/>
          <w:szCs w:val="24"/>
          <w:lang w:eastAsia="hr-HR"/>
        </w:rPr>
        <w:t>4</w:t>
      </w:r>
      <w:r w:rsidRPr="00A17B6F">
        <w:rPr>
          <w:rFonts w:ascii="Arial" w:eastAsia="Times New Roman" w:hAnsi="Arial" w:cs="Times New Roman"/>
          <w:bCs/>
          <w:sz w:val="24"/>
          <w:szCs w:val="24"/>
          <w:lang w:eastAsia="hr-HR"/>
        </w:rPr>
        <w:t xml:space="preserve">. godine u iznosu od </w:t>
      </w:r>
      <w:r w:rsidR="0074611D" w:rsidRPr="00A17B6F">
        <w:rPr>
          <w:rFonts w:ascii="Arial" w:eastAsia="Times New Roman" w:hAnsi="Arial" w:cs="Times New Roman"/>
          <w:bCs/>
          <w:sz w:val="24"/>
          <w:szCs w:val="24"/>
          <w:lang w:eastAsia="hr-HR"/>
        </w:rPr>
        <w:t>22.686.382,86</w:t>
      </w:r>
      <w:r w:rsidR="0052517B" w:rsidRPr="00A17B6F">
        <w:rPr>
          <w:rFonts w:ascii="Arial" w:eastAsia="Times New Roman" w:hAnsi="Arial" w:cs="Times New Roman"/>
          <w:bCs/>
          <w:sz w:val="24"/>
          <w:szCs w:val="24"/>
          <w:lang w:eastAsia="hr-HR"/>
        </w:rPr>
        <w:t xml:space="preserve"> eura</w:t>
      </w:r>
      <w:r w:rsidR="000D0841" w:rsidRPr="00A17B6F">
        <w:rPr>
          <w:rFonts w:ascii="Arial" w:eastAsia="Times New Roman" w:hAnsi="Arial" w:cs="Times New Roman"/>
          <w:bCs/>
          <w:sz w:val="24"/>
          <w:szCs w:val="24"/>
          <w:lang w:eastAsia="hr-HR"/>
        </w:rPr>
        <w:t xml:space="preserve"> što predstavlja </w:t>
      </w:r>
      <w:r w:rsidR="0074611D" w:rsidRPr="00A17B6F">
        <w:rPr>
          <w:rFonts w:ascii="Arial" w:eastAsia="Times New Roman" w:hAnsi="Arial" w:cs="Times New Roman"/>
          <w:bCs/>
          <w:sz w:val="24"/>
          <w:szCs w:val="24"/>
          <w:lang w:eastAsia="hr-HR"/>
        </w:rPr>
        <w:t>37,60</w:t>
      </w:r>
      <w:r w:rsidRPr="00A17B6F">
        <w:rPr>
          <w:rFonts w:ascii="Arial" w:eastAsia="Times New Roman" w:hAnsi="Arial" w:cs="Times New Roman"/>
          <w:bCs/>
          <w:sz w:val="24"/>
          <w:szCs w:val="24"/>
          <w:lang w:eastAsia="hr-HR"/>
        </w:rPr>
        <w:t>% godišnjeg plana</w:t>
      </w:r>
      <w:r w:rsidR="000D0841" w:rsidRPr="00A17B6F">
        <w:rPr>
          <w:rFonts w:ascii="Arial" w:eastAsia="Times New Roman" w:hAnsi="Arial" w:cs="Times New Roman"/>
          <w:bCs/>
          <w:sz w:val="24"/>
          <w:szCs w:val="24"/>
          <w:lang w:eastAsia="hr-HR"/>
        </w:rPr>
        <w:t xml:space="preserve">, ali i </w:t>
      </w:r>
      <w:r w:rsidR="0074611D" w:rsidRPr="00A17B6F">
        <w:rPr>
          <w:rFonts w:ascii="Arial" w:eastAsia="Times New Roman" w:hAnsi="Arial" w:cs="Times New Roman"/>
          <w:bCs/>
          <w:sz w:val="24"/>
          <w:szCs w:val="24"/>
          <w:lang w:eastAsia="hr-HR"/>
        </w:rPr>
        <w:t>359.511,71</w:t>
      </w:r>
      <w:r w:rsidR="000D0841" w:rsidRPr="00A17B6F">
        <w:rPr>
          <w:rFonts w:ascii="Arial" w:eastAsia="Times New Roman" w:hAnsi="Arial" w:cs="Times New Roman"/>
          <w:bCs/>
          <w:sz w:val="24"/>
          <w:szCs w:val="24"/>
          <w:lang w:eastAsia="hr-HR"/>
        </w:rPr>
        <w:t xml:space="preserve"> </w:t>
      </w:r>
      <w:r w:rsidR="0052517B" w:rsidRPr="00A17B6F">
        <w:rPr>
          <w:rFonts w:ascii="Arial" w:eastAsia="Times New Roman" w:hAnsi="Arial" w:cs="Times New Roman"/>
          <w:bCs/>
          <w:sz w:val="24"/>
          <w:szCs w:val="24"/>
          <w:lang w:eastAsia="hr-HR"/>
        </w:rPr>
        <w:t>eur</w:t>
      </w:r>
      <w:r w:rsidR="0074611D" w:rsidRPr="00A17B6F">
        <w:rPr>
          <w:rFonts w:ascii="Arial" w:eastAsia="Times New Roman" w:hAnsi="Arial" w:cs="Times New Roman"/>
          <w:bCs/>
          <w:sz w:val="24"/>
          <w:szCs w:val="24"/>
          <w:lang w:eastAsia="hr-HR"/>
        </w:rPr>
        <w:t>o</w:t>
      </w:r>
      <w:r w:rsidR="000D0841" w:rsidRPr="00A17B6F">
        <w:rPr>
          <w:rFonts w:ascii="Arial" w:eastAsia="Times New Roman" w:hAnsi="Arial" w:cs="Times New Roman"/>
          <w:bCs/>
          <w:sz w:val="24"/>
          <w:szCs w:val="24"/>
          <w:lang w:eastAsia="hr-HR"/>
        </w:rPr>
        <w:t xml:space="preserve"> ili </w:t>
      </w:r>
      <w:r w:rsidR="0074611D" w:rsidRPr="00A17B6F">
        <w:rPr>
          <w:rFonts w:ascii="Arial" w:eastAsia="Times New Roman" w:hAnsi="Arial" w:cs="Times New Roman"/>
          <w:bCs/>
          <w:sz w:val="24"/>
          <w:szCs w:val="24"/>
          <w:lang w:eastAsia="hr-HR"/>
        </w:rPr>
        <w:t>1,56</w:t>
      </w:r>
      <w:r w:rsidR="000D0841" w:rsidRPr="00A17B6F">
        <w:rPr>
          <w:rFonts w:ascii="Arial" w:eastAsia="Times New Roman" w:hAnsi="Arial" w:cs="Times New Roman"/>
          <w:bCs/>
          <w:sz w:val="24"/>
          <w:szCs w:val="24"/>
          <w:lang w:eastAsia="hr-HR"/>
        </w:rPr>
        <w:t xml:space="preserve">% </w:t>
      </w:r>
      <w:r w:rsidR="0074611D" w:rsidRPr="00A17B6F">
        <w:rPr>
          <w:rFonts w:ascii="Arial" w:eastAsia="Times New Roman" w:hAnsi="Arial" w:cs="Times New Roman"/>
          <w:bCs/>
          <w:sz w:val="24"/>
          <w:szCs w:val="24"/>
          <w:lang w:eastAsia="hr-HR"/>
        </w:rPr>
        <w:t>manje</w:t>
      </w:r>
      <w:r w:rsidR="000D0841" w:rsidRPr="00A17B6F">
        <w:rPr>
          <w:rFonts w:ascii="Arial" w:eastAsia="Times New Roman" w:hAnsi="Arial" w:cs="Times New Roman"/>
          <w:bCs/>
          <w:sz w:val="24"/>
          <w:szCs w:val="24"/>
          <w:lang w:eastAsia="hr-HR"/>
        </w:rPr>
        <w:t xml:space="preserve"> u odnosu na isto razdoblje prošle godine. Od ukupno navedenog iznosa ostvarenih materijalnih rashoda </w:t>
      </w:r>
      <w:r w:rsidR="0074611D" w:rsidRPr="00A17B6F">
        <w:rPr>
          <w:rFonts w:ascii="Arial" w:eastAsia="Times New Roman" w:hAnsi="Arial" w:cs="Times New Roman"/>
          <w:bCs/>
          <w:sz w:val="24"/>
          <w:szCs w:val="24"/>
          <w:lang w:eastAsia="hr-HR"/>
        </w:rPr>
        <w:t>7.350.853,41</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w:t>
      </w:r>
      <w:r w:rsidR="000D0841" w:rsidRPr="00A17B6F">
        <w:rPr>
          <w:rFonts w:ascii="Arial" w:eastAsia="Times New Roman" w:hAnsi="Arial" w:cs="Times New Roman"/>
          <w:bCs/>
          <w:sz w:val="24"/>
          <w:szCs w:val="24"/>
          <w:lang w:eastAsia="hr-HR"/>
        </w:rPr>
        <w:t xml:space="preserve">je </w:t>
      </w:r>
      <w:r w:rsidRPr="00A17B6F">
        <w:rPr>
          <w:rFonts w:ascii="Arial" w:eastAsia="Times New Roman" w:hAnsi="Arial" w:cs="Times New Roman"/>
          <w:bCs/>
          <w:sz w:val="24"/>
          <w:szCs w:val="24"/>
          <w:lang w:eastAsia="hr-HR"/>
        </w:rPr>
        <w:t xml:space="preserve">ostvareno na teret vlastitih izvora </w:t>
      </w:r>
      <w:r w:rsidR="00575CD1">
        <w:rPr>
          <w:rFonts w:ascii="Arial" w:eastAsia="Times New Roman" w:hAnsi="Arial" w:cs="Times New Roman"/>
          <w:bCs/>
          <w:sz w:val="24"/>
          <w:szCs w:val="24"/>
          <w:lang w:eastAsia="hr-HR"/>
        </w:rPr>
        <w:t>Županije</w:t>
      </w:r>
      <w:r w:rsidRPr="00A17B6F">
        <w:rPr>
          <w:rFonts w:ascii="Arial" w:eastAsia="Times New Roman" w:hAnsi="Arial" w:cs="Times New Roman"/>
          <w:bCs/>
          <w:sz w:val="24"/>
          <w:szCs w:val="24"/>
          <w:lang w:eastAsia="hr-HR"/>
        </w:rPr>
        <w:t xml:space="preserve">, a </w:t>
      </w:r>
      <w:r w:rsidR="0074611D" w:rsidRPr="00A17B6F">
        <w:rPr>
          <w:rFonts w:ascii="Arial" w:eastAsia="Times New Roman" w:hAnsi="Arial" w:cs="Times New Roman"/>
          <w:bCs/>
          <w:sz w:val="24"/>
          <w:szCs w:val="24"/>
          <w:lang w:eastAsia="hr-HR"/>
        </w:rPr>
        <w:t>15.335.529,45</w:t>
      </w:r>
      <w:r w:rsidR="0052517B" w:rsidRPr="00A17B6F">
        <w:rPr>
          <w:rFonts w:ascii="Arial" w:eastAsia="Times New Roman" w:hAnsi="Arial" w:cs="Times New Roman"/>
          <w:bCs/>
          <w:sz w:val="24"/>
          <w:szCs w:val="24"/>
          <w:lang w:eastAsia="hr-HR"/>
        </w:rPr>
        <w:t xml:space="preserve"> eura</w:t>
      </w:r>
      <w:r w:rsidRPr="00A17B6F">
        <w:rPr>
          <w:rFonts w:ascii="Arial" w:eastAsia="Times New Roman" w:hAnsi="Arial" w:cs="Times New Roman"/>
          <w:bCs/>
          <w:sz w:val="24"/>
          <w:szCs w:val="24"/>
          <w:lang w:eastAsia="hr-HR"/>
        </w:rPr>
        <w:t xml:space="preserve"> na teret vlastitih i namjenskih prihoda proračunskih korisnika. U sklopu ove skupine rashoda, najviše je realizirano rashoda za materijal i energiju </w:t>
      </w:r>
      <w:r w:rsidR="000D0841" w:rsidRPr="00A17B6F">
        <w:rPr>
          <w:rFonts w:ascii="Arial" w:eastAsia="Times New Roman" w:hAnsi="Arial" w:cs="Times New Roman"/>
          <w:bCs/>
          <w:sz w:val="24"/>
          <w:szCs w:val="24"/>
          <w:lang w:eastAsia="hr-HR"/>
        </w:rPr>
        <w:t xml:space="preserve">i to </w:t>
      </w:r>
      <w:r w:rsidR="002779FD" w:rsidRPr="00A17B6F">
        <w:rPr>
          <w:rFonts w:ascii="Arial" w:eastAsia="Times New Roman" w:hAnsi="Arial" w:cs="Times New Roman"/>
          <w:bCs/>
          <w:sz w:val="24"/>
          <w:szCs w:val="24"/>
          <w:lang w:eastAsia="hr-HR"/>
        </w:rPr>
        <w:t>9.868.260,99</w:t>
      </w:r>
      <w:r w:rsidR="006855A0" w:rsidRPr="00A17B6F">
        <w:rPr>
          <w:rFonts w:ascii="Arial" w:eastAsia="Times New Roman" w:hAnsi="Arial" w:cs="Times New Roman"/>
          <w:bCs/>
          <w:sz w:val="24"/>
          <w:szCs w:val="24"/>
          <w:lang w:eastAsia="hr-HR"/>
        </w:rPr>
        <w:t xml:space="preserve"> eura</w:t>
      </w:r>
      <w:r w:rsidR="000D0841" w:rsidRPr="00A17B6F">
        <w:rPr>
          <w:rFonts w:ascii="Arial" w:eastAsia="Times New Roman" w:hAnsi="Arial" w:cs="Times New Roman"/>
          <w:bCs/>
          <w:sz w:val="24"/>
          <w:szCs w:val="24"/>
          <w:lang w:eastAsia="hr-HR"/>
        </w:rPr>
        <w:t xml:space="preserve"> što je </w:t>
      </w:r>
      <w:r w:rsidR="006855A0" w:rsidRPr="00A17B6F">
        <w:rPr>
          <w:rFonts w:ascii="Arial" w:eastAsia="Times New Roman" w:hAnsi="Arial" w:cs="Times New Roman"/>
          <w:bCs/>
          <w:sz w:val="24"/>
          <w:szCs w:val="24"/>
          <w:lang w:eastAsia="hr-HR"/>
        </w:rPr>
        <w:t xml:space="preserve">za </w:t>
      </w:r>
      <w:r w:rsidR="002779FD" w:rsidRPr="00A17B6F">
        <w:rPr>
          <w:rFonts w:ascii="Arial" w:eastAsia="Times New Roman" w:hAnsi="Arial" w:cs="Times New Roman"/>
          <w:bCs/>
          <w:sz w:val="24"/>
          <w:szCs w:val="24"/>
          <w:lang w:eastAsia="hr-HR"/>
        </w:rPr>
        <w:t>413.433,04</w:t>
      </w:r>
      <w:r w:rsidR="006855A0" w:rsidRPr="00A17B6F">
        <w:rPr>
          <w:rFonts w:ascii="Arial" w:eastAsia="Times New Roman" w:hAnsi="Arial" w:cs="Times New Roman"/>
          <w:bCs/>
          <w:sz w:val="24"/>
          <w:szCs w:val="24"/>
          <w:lang w:eastAsia="hr-HR"/>
        </w:rPr>
        <w:t xml:space="preserve"> eura</w:t>
      </w:r>
      <w:r w:rsidR="000D0841" w:rsidRPr="00A17B6F">
        <w:rPr>
          <w:rFonts w:ascii="Arial" w:eastAsia="Times New Roman" w:hAnsi="Arial" w:cs="Times New Roman"/>
          <w:bCs/>
          <w:sz w:val="24"/>
          <w:szCs w:val="24"/>
          <w:lang w:eastAsia="hr-HR"/>
        </w:rPr>
        <w:t xml:space="preserve"> ili </w:t>
      </w:r>
      <w:r w:rsidR="002779FD" w:rsidRPr="00A17B6F">
        <w:rPr>
          <w:rFonts w:ascii="Arial" w:eastAsia="Times New Roman" w:hAnsi="Arial" w:cs="Times New Roman"/>
          <w:bCs/>
          <w:sz w:val="24"/>
          <w:szCs w:val="24"/>
          <w:lang w:eastAsia="hr-HR"/>
        </w:rPr>
        <w:t>4,02</w:t>
      </w:r>
      <w:r w:rsidR="000D0841" w:rsidRPr="00A17B6F">
        <w:rPr>
          <w:rFonts w:ascii="Arial" w:eastAsia="Times New Roman" w:hAnsi="Arial" w:cs="Times New Roman"/>
          <w:bCs/>
          <w:sz w:val="24"/>
          <w:szCs w:val="24"/>
          <w:lang w:eastAsia="hr-HR"/>
        </w:rPr>
        <w:t xml:space="preserve">% </w:t>
      </w:r>
      <w:r w:rsidR="00FA255A" w:rsidRPr="00A17B6F">
        <w:rPr>
          <w:rFonts w:ascii="Arial" w:eastAsia="Times New Roman" w:hAnsi="Arial" w:cs="Times New Roman"/>
          <w:bCs/>
          <w:sz w:val="24"/>
          <w:szCs w:val="24"/>
          <w:lang w:eastAsia="hr-HR"/>
        </w:rPr>
        <w:t>manje</w:t>
      </w:r>
      <w:r w:rsidR="000D0841" w:rsidRPr="00A17B6F">
        <w:rPr>
          <w:rFonts w:ascii="Arial" w:eastAsia="Times New Roman" w:hAnsi="Arial" w:cs="Times New Roman"/>
          <w:bCs/>
          <w:sz w:val="24"/>
          <w:szCs w:val="24"/>
          <w:lang w:eastAsia="hr-HR"/>
        </w:rPr>
        <w:t xml:space="preserve"> u odnosu na 202</w:t>
      </w:r>
      <w:r w:rsidR="00FA255A" w:rsidRPr="00A17B6F">
        <w:rPr>
          <w:rFonts w:ascii="Arial" w:eastAsia="Times New Roman" w:hAnsi="Arial" w:cs="Times New Roman"/>
          <w:bCs/>
          <w:sz w:val="24"/>
          <w:szCs w:val="24"/>
          <w:lang w:eastAsia="hr-HR"/>
        </w:rPr>
        <w:t>3</w:t>
      </w:r>
      <w:r w:rsidR="000D0841" w:rsidRPr="00A17B6F">
        <w:rPr>
          <w:rFonts w:ascii="Arial" w:eastAsia="Times New Roman" w:hAnsi="Arial" w:cs="Times New Roman"/>
          <w:bCs/>
          <w:sz w:val="24"/>
          <w:szCs w:val="24"/>
          <w:lang w:eastAsia="hr-HR"/>
        </w:rPr>
        <w:t>. godinu pri čem</w:t>
      </w:r>
      <w:r w:rsidR="00874208" w:rsidRPr="00A17B6F">
        <w:rPr>
          <w:rFonts w:ascii="Arial" w:eastAsia="Times New Roman" w:hAnsi="Arial" w:cs="Times New Roman"/>
          <w:bCs/>
          <w:sz w:val="24"/>
          <w:szCs w:val="24"/>
          <w:lang w:eastAsia="hr-HR"/>
        </w:rPr>
        <w:t xml:space="preserve">u najveći doprinos </w:t>
      </w:r>
      <w:r w:rsidR="00FA255A" w:rsidRPr="00A17B6F">
        <w:rPr>
          <w:rFonts w:ascii="Arial" w:eastAsia="Times New Roman" w:hAnsi="Arial" w:cs="Times New Roman"/>
          <w:bCs/>
          <w:sz w:val="24"/>
          <w:szCs w:val="24"/>
          <w:lang w:eastAsia="hr-HR"/>
        </w:rPr>
        <w:t>smanjenju</w:t>
      </w:r>
      <w:r w:rsidR="00874208" w:rsidRPr="00A17B6F">
        <w:rPr>
          <w:rFonts w:ascii="Arial" w:eastAsia="Times New Roman" w:hAnsi="Arial" w:cs="Times New Roman"/>
          <w:bCs/>
          <w:sz w:val="24"/>
          <w:szCs w:val="24"/>
          <w:lang w:eastAsia="hr-HR"/>
        </w:rPr>
        <w:t xml:space="preserve"> ove </w:t>
      </w:r>
      <w:r w:rsidR="005924E9" w:rsidRPr="00A17B6F">
        <w:rPr>
          <w:rFonts w:ascii="Arial" w:eastAsia="Times New Roman" w:hAnsi="Arial" w:cs="Times New Roman"/>
          <w:bCs/>
          <w:sz w:val="24"/>
          <w:szCs w:val="24"/>
          <w:lang w:eastAsia="hr-HR"/>
        </w:rPr>
        <w:t>pod</w:t>
      </w:r>
      <w:r w:rsidR="000D0841" w:rsidRPr="00A17B6F">
        <w:rPr>
          <w:rFonts w:ascii="Arial" w:eastAsia="Times New Roman" w:hAnsi="Arial" w:cs="Times New Roman"/>
          <w:bCs/>
          <w:sz w:val="24"/>
          <w:szCs w:val="24"/>
          <w:lang w:eastAsia="hr-HR"/>
        </w:rPr>
        <w:t xml:space="preserve">skupine </w:t>
      </w:r>
      <w:r w:rsidR="00FA255A" w:rsidRPr="00A17B6F">
        <w:rPr>
          <w:rFonts w:ascii="Arial" w:eastAsia="Times New Roman" w:hAnsi="Arial" w:cs="Times New Roman"/>
          <w:bCs/>
          <w:sz w:val="24"/>
          <w:szCs w:val="24"/>
          <w:lang w:eastAsia="hr-HR"/>
        </w:rPr>
        <w:t>rashoda imaju rashodi za energiju (</w:t>
      </w:r>
      <w:r w:rsidR="00575CD1">
        <w:rPr>
          <w:rFonts w:ascii="Arial" w:eastAsia="Times New Roman" w:hAnsi="Arial" w:cs="Times New Roman"/>
          <w:bCs/>
          <w:sz w:val="24"/>
          <w:szCs w:val="24"/>
          <w:lang w:eastAsia="hr-HR"/>
        </w:rPr>
        <w:t xml:space="preserve">smanjenje od </w:t>
      </w:r>
      <w:r w:rsidR="00FA255A" w:rsidRPr="00A17B6F">
        <w:rPr>
          <w:rFonts w:ascii="Arial" w:eastAsia="Times New Roman" w:hAnsi="Arial" w:cs="Times New Roman"/>
          <w:bCs/>
          <w:sz w:val="24"/>
          <w:szCs w:val="24"/>
          <w:lang w:eastAsia="hr-HR"/>
        </w:rPr>
        <w:t>48</w:t>
      </w:r>
      <w:r w:rsidR="00E9103C" w:rsidRPr="00A17B6F">
        <w:rPr>
          <w:rFonts w:ascii="Arial" w:eastAsia="Times New Roman" w:hAnsi="Arial" w:cs="Times New Roman"/>
          <w:bCs/>
          <w:sz w:val="24"/>
          <w:szCs w:val="24"/>
          <w:lang w:eastAsia="hr-HR"/>
        </w:rPr>
        <w:t>9.888,47 eura).</w:t>
      </w:r>
    </w:p>
    <w:p w14:paraId="09B212CF" w14:textId="77777777" w:rsidR="00FA255A" w:rsidRPr="00A17B6F" w:rsidRDefault="00FA255A" w:rsidP="002E5D8E">
      <w:pPr>
        <w:spacing w:after="0" w:line="240" w:lineRule="auto"/>
        <w:ind w:firstLine="708"/>
        <w:jc w:val="both"/>
        <w:rPr>
          <w:rFonts w:ascii="Arial" w:eastAsia="Times New Roman" w:hAnsi="Arial" w:cs="Times New Roman"/>
          <w:bCs/>
          <w:sz w:val="24"/>
          <w:szCs w:val="24"/>
          <w:lang w:eastAsia="hr-HR"/>
        </w:rPr>
      </w:pPr>
    </w:p>
    <w:p w14:paraId="6D6B51C5" w14:textId="560FF890" w:rsidR="00F1344E" w:rsidRPr="00A17B6F" w:rsidRDefault="005924E9" w:rsidP="002E5D8E">
      <w:pPr>
        <w:spacing w:after="0" w:line="240" w:lineRule="auto"/>
        <w:ind w:firstLine="708"/>
        <w:jc w:val="both"/>
        <w:rPr>
          <w:rFonts w:ascii="Arial" w:eastAsia="Times New Roman" w:hAnsi="Arial" w:cs="Times New Roman"/>
          <w:bCs/>
          <w:sz w:val="24"/>
          <w:szCs w:val="24"/>
          <w:lang w:eastAsia="hr-HR"/>
        </w:rPr>
      </w:pPr>
      <w:r w:rsidRPr="00A17B6F">
        <w:rPr>
          <w:rFonts w:ascii="Arial" w:eastAsia="Times New Roman" w:hAnsi="Arial" w:cs="Times New Roman"/>
          <w:bCs/>
          <w:sz w:val="24"/>
          <w:szCs w:val="24"/>
          <w:lang w:eastAsia="hr-HR"/>
        </w:rPr>
        <w:t xml:space="preserve">Osim rashoda za materijal i energiju, u sklopu skupine rashoda materijalnih rashoda realizirani su i sljedeći rashodi: rashodi za usluge u iznosu </w:t>
      </w:r>
      <w:r w:rsidR="00E9103C" w:rsidRPr="00A17B6F">
        <w:rPr>
          <w:rFonts w:ascii="Arial" w:eastAsia="Times New Roman" w:hAnsi="Arial" w:cs="Times New Roman"/>
          <w:bCs/>
          <w:sz w:val="24"/>
          <w:szCs w:val="24"/>
          <w:lang w:eastAsia="hr-HR"/>
        </w:rPr>
        <w:t>8.807.507,00</w:t>
      </w:r>
      <w:r w:rsidRPr="00A17B6F">
        <w:rPr>
          <w:rFonts w:ascii="Arial" w:eastAsia="Times New Roman" w:hAnsi="Arial" w:cs="Times New Roman"/>
          <w:bCs/>
          <w:sz w:val="24"/>
          <w:szCs w:val="24"/>
          <w:lang w:eastAsia="hr-HR"/>
        </w:rPr>
        <w:t xml:space="preserve"> eura (</w:t>
      </w:r>
      <w:r w:rsidR="00E9103C" w:rsidRPr="00A17B6F">
        <w:rPr>
          <w:rFonts w:ascii="Arial" w:eastAsia="Times New Roman" w:hAnsi="Arial" w:cs="Times New Roman"/>
          <w:bCs/>
          <w:sz w:val="24"/>
          <w:szCs w:val="24"/>
          <w:lang w:eastAsia="hr-HR"/>
        </w:rPr>
        <w:t>29.553,20</w:t>
      </w:r>
      <w:r w:rsidRPr="00A17B6F">
        <w:rPr>
          <w:rFonts w:ascii="Arial" w:eastAsia="Times New Roman" w:hAnsi="Arial" w:cs="Times New Roman"/>
          <w:bCs/>
          <w:sz w:val="24"/>
          <w:szCs w:val="24"/>
          <w:lang w:eastAsia="hr-HR"/>
        </w:rPr>
        <w:t xml:space="preserve"> eura ili </w:t>
      </w:r>
      <w:r w:rsidR="00E9103C" w:rsidRPr="00A17B6F">
        <w:rPr>
          <w:rFonts w:ascii="Arial" w:eastAsia="Times New Roman" w:hAnsi="Arial" w:cs="Times New Roman"/>
          <w:bCs/>
          <w:sz w:val="24"/>
          <w:szCs w:val="24"/>
          <w:lang w:eastAsia="hr-HR"/>
        </w:rPr>
        <w:t>0,34</w:t>
      </w:r>
      <w:r w:rsidRPr="00A17B6F">
        <w:rPr>
          <w:rFonts w:ascii="Arial" w:eastAsia="Times New Roman" w:hAnsi="Arial" w:cs="Times New Roman"/>
          <w:bCs/>
          <w:sz w:val="24"/>
          <w:szCs w:val="24"/>
          <w:lang w:eastAsia="hr-HR"/>
        </w:rPr>
        <w:t>% više u odnosu na 202</w:t>
      </w:r>
      <w:r w:rsidR="00E9103C" w:rsidRPr="00A17B6F">
        <w:rPr>
          <w:rFonts w:ascii="Arial" w:eastAsia="Times New Roman" w:hAnsi="Arial" w:cs="Times New Roman"/>
          <w:bCs/>
          <w:sz w:val="24"/>
          <w:szCs w:val="24"/>
          <w:lang w:eastAsia="hr-HR"/>
        </w:rPr>
        <w:t>3</w:t>
      </w:r>
      <w:r w:rsidRPr="00A17B6F">
        <w:rPr>
          <w:rFonts w:ascii="Arial" w:eastAsia="Times New Roman" w:hAnsi="Arial" w:cs="Times New Roman"/>
          <w:bCs/>
          <w:sz w:val="24"/>
          <w:szCs w:val="24"/>
          <w:lang w:eastAsia="hr-HR"/>
        </w:rPr>
        <w:t xml:space="preserve">. godinu), rashodi za naknade troškovima zaposlenima u iznosu </w:t>
      </w:r>
      <w:r w:rsidR="00E9103C" w:rsidRPr="00A17B6F">
        <w:rPr>
          <w:rFonts w:ascii="Arial" w:eastAsia="Times New Roman" w:hAnsi="Arial" w:cs="Times New Roman"/>
          <w:bCs/>
          <w:sz w:val="24"/>
          <w:szCs w:val="24"/>
          <w:lang w:eastAsia="hr-HR"/>
        </w:rPr>
        <w:t>2.894.620,26</w:t>
      </w:r>
      <w:r w:rsidRPr="00A17B6F">
        <w:rPr>
          <w:rFonts w:ascii="Arial" w:eastAsia="Times New Roman" w:hAnsi="Arial" w:cs="Times New Roman"/>
          <w:bCs/>
          <w:sz w:val="24"/>
          <w:szCs w:val="24"/>
          <w:lang w:eastAsia="hr-HR"/>
        </w:rPr>
        <w:t xml:space="preserve"> eura (</w:t>
      </w:r>
      <w:r w:rsidR="00E9103C" w:rsidRPr="00A17B6F">
        <w:rPr>
          <w:rFonts w:ascii="Arial" w:eastAsia="Times New Roman" w:hAnsi="Arial" w:cs="Times New Roman"/>
          <w:bCs/>
          <w:sz w:val="24"/>
          <w:szCs w:val="24"/>
          <w:lang w:eastAsia="hr-HR"/>
        </w:rPr>
        <w:t>66.262,25</w:t>
      </w:r>
      <w:r w:rsidRPr="00A17B6F">
        <w:rPr>
          <w:rFonts w:ascii="Arial" w:eastAsia="Times New Roman" w:hAnsi="Arial" w:cs="Times New Roman"/>
          <w:bCs/>
          <w:sz w:val="24"/>
          <w:szCs w:val="24"/>
          <w:lang w:eastAsia="hr-HR"/>
        </w:rPr>
        <w:t xml:space="preserve"> eura ili </w:t>
      </w:r>
      <w:r w:rsidR="00E9103C" w:rsidRPr="00A17B6F">
        <w:rPr>
          <w:rFonts w:ascii="Arial" w:eastAsia="Times New Roman" w:hAnsi="Arial" w:cs="Times New Roman"/>
          <w:bCs/>
          <w:sz w:val="24"/>
          <w:szCs w:val="24"/>
          <w:lang w:eastAsia="hr-HR"/>
        </w:rPr>
        <w:t>2,26</w:t>
      </w:r>
      <w:r w:rsidRPr="00A17B6F">
        <w:rPr>
          <w:rFonts w:ascii="Arial" w:eastAsia="Times New Roman" w:hAnsi="Arial" w:cs="Times New Roman"/>
          <w:bCs/>
          <w:sz w:val="24"/>
          <w:szCs w:val="24"/>
          <w:lang w:eastAsia="hr-HR"/>
        </w:rPr>
        <w:t xml:space="preserve">% </w:t>
      </w:r>
      <w:r w:rsidR="00E9103C" w:rsidRPr="00A17B6F">
        <w:rPr>
          <w:rFonts w:ascii="Arial" w:eastAsia="Times New Roman" w:hAnsi="Arial" w:cs="Times New Roman"/>
          <w:bCs/>
          <w:sz w:val="24"/>
          <w:szCs w:val="24"/>
          <w:lang w:eastAsia="hr-HR"/>
        </w:rPr>
        <w:t>manje</w:t>
      </w:r>
      <w:r w:rsidRPr="00A17B6F">
        <w:rPr>
          <w:rFonts w:ascii="Arial" w:eastAsia="Times New Roman" w:hAnsi="Arial" w:cs="Times New Roman"/>
          <w:bCs/>
          <w:sz w:val="24"/>
          <w:szCs w:val="24"/>
          <w:lang w:eastAsia="hr-HR"/>
        </w:rPr>
        <w:t xml:space="preserve"> nego u 202</w:t>
      </w:r>
      <w:r w:rsidR="00E9103C" w:rsidRPr="00A17B6F">
        <w:rPr>
          <w:rFonts w:ascii="Arial" w:eastAsia="Times New Roman" w:hAnsi="Arial" w:cs="Times New Roman"/>
          <w:bCs/>
          <w:sz w:val="24"/>
          <w:szCs w:val="24"/>
          <w:lang w:eastAsia="hr-HR"/>
        </w:rPr>
        <w:t>3</w:t>
      </w:r>
      <w:r w:rsidRPr="00A17B6F">
        <w:rPr>
          <w:rFonts w:ascii="Arial" w:eastAsia="Times New Roman" w:hAnsi="Arial" w:cs="Times New Roman"/>
          <w:bCs/>
          <w:sz w:val="24"/>
          <w:szCs w:val="24"/>
          <w:lang w:eastAsia="hr-HR"/>
        </w:rPr>
        <w:t xml:space="preserve">. godini), rashodi za naknade troškova osobama izvan radnog odnosa u iznosu </w:t>
      </w:r>
      <w:r w:rsidR="00E9103C" w:rsidRPr="00A17B6F">
        <w:rPr>
          <w:rFonts w:ascii="Arial" w:eastAsia="Times New Roman" w:hAnsi="Arial" w:cs="Times New Roman"/>
          <w:bCs/>
          <w:sz w:val="24"/>
          <w:szCs w:val="24"/>
          <w:lang w:eastAsia="hr-HR"/>
        </w:rPr>
        <w:t>147.646,64</w:t>
      </w:r>
      <w:r w:rsidRPr="00A17B6F">
        <w:rPr>
          <w:rFonts w:ascii="Arial" w:eastAsia="Times New Roman" w:hAnsi="Arial" w:cs="Times New Roman"/>
          <w:bCs/>
          <w:sz w:val="24"/>
          <w:szCs w:val="24"/>
          <w:lang w:eastAsia="hr-HR"/>
        </w:rPr>
        <w:t xml:space="preserve"> eura</w:t>
      </w:r>
      <w:r w:rsidR="005C304C" w:rsidRPr="00A17B6F">
        <w:rPr>
          <w:rFonts w:ascii="Arial" w:eastAsia="Times New Roman" w:hAnsi="Arial" w:cs="Times New Roman"/>
          <w:bCs/>
          <w:sz w:val="24"/>
          <w:szCs w:val="24"/>
          <w:lang w:eastAsia="hr-HR"/>
        </w:rPr>
        <w:t xml:space="preserve"> </w:t>
      </w:r>
      <w:r w:rsidRPr="00A17B6F">
        <w:rPr>
          <w:rFonts w:ascii="Arial" w:eastAsia="Times New Roman" w:hAnsi="Arial" w:cs="Times New Roman"/>
          <w:bCs/>
          <w:sz w:val="24"/>
          <w:szCs w:val="24"/>
          <w:lang w:eastAsia="hr-HR"/>
        </w:rPr>
        <w:t>(</w:t>
      </w:r>
      <w:r w:rsidR="00E9103C" w:rsidRPr="00A17B6F">
        <w:rPr>
          <w:rFonts w:ascii="Arial" w:eastAsia="Times New Roman" w:hAnsi="Arial" w:cs="Times New Roman"/>
          <w:bCs/>
          <w:sz w:val="24"/>
          <w:szCs w:val="24"/>
          <w:lang w:eastAsia="hr-HR"/>
        </w:rPr>
        <w:t>38.560,49</w:t>
      </w:r>
      <w:r w:rsidRPr="00A17B6F">
        <w:rPr>
          <w:rFonts w:ascii="Arial" w:eastAsia="Times New Roman" w:hAnsi="Arial" w:cs="Times New Roman"/>
          <w:bCs/>
          <w:sz w:val="24"/>
          <w:szCs w:val="24"/>
          <w:lang w:eastAsia="hr-HR"/>
        </w:rPr>
        <w:t xml:space="preserve">0 eura ili </w:t>
      </w:r>
      <w:r w:rsidR="00E9103C" w:rsidRPr="00A17B6F">
        <w:rPr>
          <w:rFonts w:ascii="Arial" w:eastAsia="Times New Roman" w:hAnsi="Arial" w:cs="Times New Roman"/>
          <w:bCs/>
          <w:sz w:val="24"/>
          <w:szCs w:val="24"/>
          <w:lang w:eastAsia="hr-HR"/>
        </w:rPr>
        <w:t>35,35</w:t>
      </w:r>
      <w:r w:rsidRPr="00A17B6F">
        <w:rPr>
          <w:rFonts w:ascii="Arial" w:eastAsia="Times New Roman" w:hAnsi="Arial" w:cs="Times New Roman"/>
          <w:bCs/>
          <w:sz w:val="24"/>
          <w:szCs w:val="24"/>
          <w:lang w:eastAsia="hr-HR"/>
        </w:rPr>
        <w:t xml:space="preserve">% više nego u 2022. godini) te ostali nespomenuti rashodi poslovanja u iznosu </w:t>
      </w:r>
      <w:r w:rsidR="00E9103C" w:rsidRPr="00A17B6F">
        <w:rPr>
          <w:rFonts w:ascii="Arial" w:eastAsia="Times New Roman" w:hAnsi="Arial" w:cs="Times New Roman"/>
          <w:bCs/>
          <w:sz w:val="24"/>
          <w:szCs w:val="24"/>
          <w:lang w:eastAsia="hr-HR"/>
        </w:rPr>
        <w:t>968.347,97</w:t>
      </w:r>
      <w:r w:rsidRPr="00A17B6F">
        <w:rPr>
          <w:rFonts w:ascii="Arial" w:eastAsia="Times New Roman" w:hAnsi="Arial" w:cs="Times New Roman"/>
          <w:bCs/>
          <w:sz w:val="24"/>
          <w:szCs w:val="24"/>
          <w:lang w:eastAsia="hr-HR"/>
        </w:rPr>
        <w:t xml:space="preserve"> eura (</w:t>
      </w:r>
      <w:r w:rsidR="00E9103C" w:rsidRPr="00A17B6F">
        <w:rPr>
          <w:rFonts w:ascii="Arial" w:eastAsia="Times New Roman" w:hAnsi="Arial" w:cs="Times New Roman"/>
          <w:bCs/>
          <w:sz w:val="24"/>
          <w:szCs w:val="24"/>
          <w:lang w:eastAsia="hr-HR"/>
        </w:rPr>
        <w:t>52.069,89</w:t>
      </w:r>
      <w:r w:rsidRPr="00A17B6F">
        <w:rPr>
          <w:rFonts w:ascii="Arial" w:eastAsia="Times New Roman" w:hAnsi="Arial" w:cs="Times New Roman"/>
          <w:bCs/>
          <w:sz w:val="24"/>
          <w:szCs w:val="24"/>
          <w:lang w:eastAsia="hr-HR"/>
        </w:rPr>
        <w:t xml:space="preserve"> eura ili </w:t>
      </w:r>
      <w:r w:rsidR="00E9103C" w:rsidRPr="00A17B6F">
        <w:rPr>
          <w:rFonts w:ascii="Arial" w:eastAsia="Times New Roman" w:hAnsi="Arial" w:cs="Times New Roman"/>
          <w:bCs/>
          <w:sz w:val="24"/>
          <w:szCs w:val="24"/>
          <w:lang w:eastAsia="hr-HR"/>
        </w:rPr>
        <w:t>5,68</w:t>
      </w:r>
      <w:r w:rsidRPr="00A17B6F">
        <w:rPr>
          <w:rFonts w:ascii="Arial" w:eastAsia="Times New Roman" w:hAnsi="Arial" w:cs="Times New Roman"/>
          <w:bCs/>
          <w:sz w:val="24"/>
          <w:szCs w:val="24"/>
          <w:lang w:eastAsia="hr-HR"/>
        </w:rPr>
        <w:t xml:space="preserve">% </w:t>
      </w:r>
      <w:r w:rsidR="00E9103C" w:rsidRPr="00A17B6F">
        <w:rPr>
          <w:rFonts w:ascii="Arial" w:eastAsia="Times New Roman" w:hAnsi="Arial" w:cs="Times New Roman"/>
          <w:bCs/>
          <w:sz w:val="24"/>
          <w:szCs w:val="24"/>
          <w:lang w:eastAsia="hr-HR"/>
        </w:rPr>
        <w:t>više</w:t>
      </w:r>
      <w:r w:rsidRPr="00A17B6F">
        <w:rPr>
          <w:rFonts w:ascii="Arial" w:eastAsia="Times New Roman" w:hAnsi="Arial" w:cs="Times New Roman"/>
          <w:bCs/>
          <w:sz w:val="24"/>
          <w:szCs w:val="24"/>
          <w:lang w:eastAsia="hr-HR"/>
        </w:rPr>
        <w:t xml:space="preserve"> nego u 202</w:t>
      </w:r>
      <w:r w:rsidR="00E9103C" w:rsidRPr="00A17B6F">
        <w:rPr>
          <w:rFonts w:ascii="Arial" w:eastAsia="Times New Roman" w:hAnsi="Arial" w:cs="Times New Roman"/>
          <w:bCs/>
          <w:sz w:val="24"/>
          <w:szCs w:val="24"/>
          <w:lang w:eastAsia="hr-HR"/>
        </w:rPr>
        <w:t>3</w:t>
      </w:r>
      <w:r w:rsidRPr="00A17B6F">
        <w:rPr>
          <w:rFonts w:ascii="Arial" w:eastAsia="Times New Roman" w:hAnsi="Arial" w:cs="Times New Roman"/>
          <w:bCs/>
          <w:sz w:val="24"/>
          <w:szCs w:val="24"/>
          <w:lang w:eastAsia="hr-HR"/>
        </w:rPr>
        <w:t>. godini).</w:t>
      </w:r>
    </w:p>
    <w:p w14:paraId="57E0F58F" w14:textId="77777777" w:rsidR="00F1344E" w:rsidRPr="00A17B6F" w:rsidRDefault="00F1344E" w:rsidP="002E5D8E">
      <w:pPr>
        <w:spacing w:after="0" w:line="240" w:lineRule="auto"/>
        <w:ind w:firstLine="708"/>
        <w:jc w:val="both"/>
        <w:rPr>
          <w:rFonts w:ascii="Arial" w:eastAsia="Times New Roman" w:hAnsi="Arial" w:cs="Times New Roman"/>
          <w:bCs/>
          <w:sz w:val="24"/>
          <w:szCs w:val="24"/>
          <w:lang w:eastAsia="hr-HR"/>
        </w:rPr>
      </w:pPr>
    </w:p>
    <w:p w14:paraId="699A8F1C" w14:textId="1D14C012" w:rsidR="002E5D8E"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 xml:space="preserve">Ukupni </w:t>
      </w:r>
      <w:r w:rsidRPr="00A17B6F">
        <w:rPr>
          <w:rFonts w:ascii="Arial" w:eastAsia="Times New Roman" w:hAnsi="Arial" w:cs="Times New Roman"/>
          <w:b/>
          <w:sz w:val="24"/>
          <w:szCs w:val="24"/>
          <w:lang w:eastAsia="hr-HR"/>
        </w:rPr>
        <w:t>f</w:t>
      </w:r>
      <w:r w:rsidRPr="00A17B6F">
        <w:rPr>
          <w:rFonts w:ascii="Arial" w:eastAsia="Times New Roman" w:hAnsi="Arial" w:cs="Times New Roman"/>
          <w:b/>
          <w:bCs/>
          <w:sz w:val="24"/>
          <w:szCs w:val="24"/>
          <w:lang w:eastAsia="hr-HR"/>
        </w:rPr>
        <w:t>inancijski rashodi</w:t>
      </w:r>
      <w:r w:rsidRPr="00A17B6F">
        <w:rPr>
          <w:rFonts w:ascii="Arial" w:eastAsia="Times New Roman" w:hAnsi="Arial" w:cs="Times New Roman"/>
          <w:sz w:val="24"/>
          <w:szCs w:val="24"/>
          <w:lang w:eastAsia="hr-HR"/>
        </w:rPr>
        <w:t xml:space="preserve"> u prvih šest mjeseci 202</w:t>
      </w:r>
      <w:r w:rsidR="00645680" w:rsidRPr="00A17B6F">
        <w:rPr>
          <w:rFonts w:ascii="Arial" w:eastAsia="Times New Roman" w:hAnsi="Arial" w:cs="Times New Roman"/>
          <w:sz w:val="24"/>
          <w:szCs w:val="24"/>
          <w:lang w:eastAsia="hr-HR"/>
        </w:rPr>
        <w:t>4</w:t>
      </w:r>
      <w:r w:rsidRPr="00A17B6F">
        <w:rPr>
          <w:rFonts w:ascii="Arial" w:eastAsia="Times New Roman" w:hAnsi="Arial" w:cs="Times New Roman"/>
          <w:sz w:val="24"/>
          <w:szCs w:val="24"/>
          <w:lang w:eastAsia="hr-HR"/>
        </w:rPr>
        <w:t xml:space="preserve">. godine izvršeni su u iznosu od </w:t>
      </w:r>
      <w:r w:rsidR="00645680" w:rsidRPr="00A17B6F">
        <w:rPr>
          <w:rFonts w:ascii="Arial" w:eastAsia="Times New Roman" w:hAnsi="Arial" w:cs="Times New Roman"/>
          <w:sz w:val="24"/>
          <w:szCs w:val="24"/>
          <w:lang w:eastAsia="hr-HR"/>
        </w:rPr>
        <w:t>172.935,59</w:t>
      </w:r>
      <w:r w:rsidR="005924E9"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što je </w:t>
      </w:r>
      <w:r w:rsidR="00645680" w:rsidRPr="00A17B6F">
        <w:rPr>
          <w:rFonts w:ascii="Arial" w:eastAsia="Times New Roman" w:hAnsi="Arial" w:cs="Times New Roman"/>
          <w:sz w:val="24"/>
          <w:szCs w:val="24"/>
          <w:lang w:eastAsia="hr-HR"/>
        </w:rPr>
        <w:t>40,91</w:t>
      </w:r>
      <w:r w:rsidRPr="00A17B6F">
        <w:rPr>
          <w:rFonts w:ascii="Arial" w:eastAsia="Times New Roman" w:hAnsi="Arial" w:cs="Times New Roman"/>
          <w:sz w:val="24"/>
          <w:szCs w:val="24"/>
          <w:lang w:eastAsia="hr-HR"/>
        </w:rPr>
        <w:t>% u odnosu na godišnji plan</w:t>
      </w:r>
      <w:r w:rsidR="005924E9" w:rsidRPr="00A17B6F">
        <w:rPr>
          <w:rFonts w:ascii="Arial" w:eastAsia="Times New Roman" w:hAnsi="Arial" w:cs="Times New Roman"/>
          <w:sz w:val="24"/>
          <w:szCs w:val="24"/>
          <w:lang w:eastAsia="hr-HR"/>
        </w:rPr>
        <w:t xml:space="preserve">, odnosno </w:t>
      </w:r>
      <w:r w:rsidR="00645680" w:rsidRPr="00A17B6F">
        <w:rPr>
          <w:rFonts w:ascii="Arial" w:eastAsia="Times New Roman" w:hAnsi="Arial" w:cs="Times New Roman"/>
          <w:sz w:val="24"/>
          <w:szCs w:val="24"/>
          <w:lang w:eastAsia="hr-HR"/>
        </w:rPr>
        <w:t>18.309,77</w:t>
      </w:r>
      <w:r w:rsidR="005924E9" w:rsidRPr="00A17B6F">
        <w:rPr>
          <w:rFonts w:ascii="Arial" w:eastAsia="Times New Roman" w:hAnsi="Arial" w:cs="Times New Roman"/>
          <w:sz w:val="24"/>
          <w:szCs w:val="24"/>
          <w:lang w:eastAsia="hr-HR"/>
        </w:rPr>
        <w:t xml:space="preserve"> eura ili </w:t>
      </w:r>
      <w:r w:rsidR="00645680" w:rsidRPr="00A17B6F">
        <w:rPr>
          <w:rFonts w:ascii="Arial" w:eastAsia="Times New Roman" w:hAnsi="Arial" w:cs="Times New Roman"/>
          <w:sz w:val="24"/>
          <w:szCs w:val="24"/>
          <w:lang w:eastAsia="hr-HR"/>
        </w:rPr>
        <w:t>11,84</w:t>
      </w:r>
      <w:r w:rsidR="005924E9" w:rsidRPr="00A17B6F">
        <w:rPr>
          <w:rFonts w:ascii="Arial" w:eastAsia="Times New Roman" w:hAnsi="Arial" w:cs="Times New Roman"/>
          <w:sz w:val="24"/>
          <w:szCs w:val="24"/>
          <w:lang w:eastAsia="hr-HR"/>
        </w:rPr>
        <w:t>% manje u odnosu na isto razdoblje prethodne godine.</w:t>
      </w:r>
      <w:r w:rsidRPr="00A17B6F">
        <w:rPr>
          <w:rFonts w:ascii="Arial" w:eastAsia="Times New Roman" w:hAnsi="Arial" w:cs="Times New Roman"/>
          <w:sz w:val="24"/>
          <w:szCs w:val="24"/>
          <w:lang w:eastAsia="hr-HR"/>
        </w:rPr>
        <w:t xml:space="preserve"> Od navedenog ukupnog iznosa financijskih rashoda, </w:t>
      </w:r>
      <w:r w:rsidR="00645680" w:rsidRPr="00A17B6F">
        <w:rPr>
          <w:rFonts w:ascii="Arial" w:eastAsia="Times New Roman" w:hAnsi="Arial" w:cs="Times New Roman"/>
          <w:sz w:val="24"/>
          <w:szCs w:val="24"/>
          <w:lang w:eastAsia="hr-HR"/>
        </w:rPr>
        <w:t>64.448,98</w:t>
      </w:r>
      <w:r w:rsidR="00455A09"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je realizirano na teret vlastitih izvora Proračuna, a </w:t>
      </w:r>
      <w:r w:rsidR="00645680" w:rsidRPr="00A17B6F">
        <w:rPr>
          <w:rFonts w:ascii="Arial" w:eastAsia="Times New Roman" w:hAnsi="Arial" w:cs="Times New Roman"/>
          <w:sz w:val="24"/>
          <w:szCs w:val="24"/>
          <w:lang w:eastAsia="hr-HR"/>
        </w:rPr>
        <w:t>108.486,61</w:t>
      </w:r>
      <w:r w:rsidR="00455A09" w:rsidRPr="00A17B6F">
        <w:rPr>
          <w:rFonts w:ascii="Arial" w:eastAsia="Times New Roman" w:hAnsi="Arial" w:cs="Times New Roman"/>
          <w:sz w:val="24"/>
          <w:szCs w:val="24"/>
          <w:lang w:eastAsia="hr-HR"/>
        </w:rPr>
        <w:t xml:space="preserve"> eur</w:t>
      </w:r>
      <w:r w:rsidR="00645680" w:rsidRPr="00A17B6F">
        <w:rPr>
          <w:rFonts w:ascii="Arial" w:eastAsia="Times New Roman" w:hAnsi="Arial" w:cs="Times New Roman"/>
          <w:sz w:val="24"/>
          <w:szCs w:val="24"/>
          <w:lang w:eastAsia="hr-HR"/>
        </w:rPr>
        <w:t>o</w:t>
      </w:r>
      <w:r w:rsidRPr="00A17B6F">
        <w:rPr>
          <w:rFonts w:ascii="Arial" w:eastAsia="Times New Roman" w:hAnsi="Arial" w:cs="Times New Roman"/>
          <w:sz w:val="24"/>
          <w:szCs w:val="24"/>
          <w:lang w:eastAsia="hr-HR"/>
        </w:rPr>
        <w:t xml:space="preserve"> na teret vlastitih i namjenskih prihoda proračunskih korisnika.</w:t>
      </w:r>
    </w:p>
    <w:p w14:paraId="6971120A" w14:textId="203F9BDF" w:rsidR="002E5D8E"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 xml:space="preserve">Ukupni rashodi za </w:t>
      </w:r>
      <w:r w:rsidRPr="00A17B6F">
        <w:rPr>
          <w:rFonts w:ascii="Arial" w:eastAsia="Times New Roman" w:hAnsi="Arial" w:cs="Times New Roman"/>
          <w:b/>
          <w:bCs/>
          <w:sz w:val="24"/>
          <w:szCs w:val="24"/>
          <w:lang w:eastAsia="hr-HR"/>
        </w:rPr>
        <w:t>subvencije</w:t>
      </w:r>
      <w:r w:rsidRPr="00A17B6F">
        <w:rPr>
          <w:rFonts w:ascii="Arial" w:eastAsia="Times New Roman" w:hAnsi="Arial" w:cs="Times New Roman"/>
          <w:sz w:val="24"/>
          <w:szCs w:val="24"/>
          <w:lang w:eastAsia="hr-HR"/>
        </w:rPr>
        <w:t xml:space="preserve"> izvršeni su </w:t>
      </w:r>
      <w:r w:rsidR="00645680" w:rsidRPr="00A17B6F">
        <w:rPr>
          <w:rFonts w:ascii="Arial" w:eastAsia="Times New Roman" w:hAnsi="Arial" w:cs="Times New Roman"/>
          <w:sz w:val="24"/>
          <w:szCs w:val="24"/>
          <w:lang w:eastAsia="hr-HR"/>
        </w:rPr>
        <w:t>26,23</w:t>
      </w:r>
      <w:r w:rsidRPr="00A17B6F">
        <w:rPr>
          <w:rFonts w:ascii="Arial" w:eastAsia="Times New Roman" w:hAnsi="Arial" w:cs="Times New Roman"/>
          <w:sz w:val="24"/>
          <w:szCs w:val="24"/>
          <w:lang w:eastAsia="hr-HR"/>
        </w:rPr>
        <w:t xml:space="preserve">% od godišnjeg plana, odnosno u iznosu od </w:t>
      </w:r>
      <w:r w:rsidR="00645680" w:rsidRPr="00A17B6F">
        <w:rPr>
          <w:rFonts w:ascii="Arial" w:eastAsia="Times New Roman" w:hAnsi="Arial" w:cs="Times New Roman"/>
          <w:sz w:val="24"/>
          <w:szCs w:val="24"/>
          <w:lang w:eastAsia="hr-HR"/>
        </w:rPr>
        <w:t>514.134,38</w:t>
      </w:r>
      <w:r w:rsidR="00455A09"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i </w:t>
      </w:r>
      <w:r w:rsidR="004302B1" w:rsidRPr="00A17B6F">
        <w:rPr>
          <w:rFonts w:ascii="Arial" w:eastAsia="Times New Roman" w:hAnsi="Arial" w:cs="Times New Roman"/>
          <w:sz w:val="24"/>
          <w:szCs w:val="24"/>
          <w:lang w:eastAsia="hr-HR"/>
        </w:rPr>
        <w:t xml:space="preserve">u većem dijelu se </w:t>
      </w:r>
      <w:r w:rsidRPr="00A17B6F">
        <w:rPr>
          <w:rFonts w:ascii="Arial" w:eastAsia="Times New Roman" w:hAnsi="Arial" w:cs="Times New Roman"/>
          <w:sz w:val="24"/>
          <w:szCs w:val="24"/>
          <w:lang w:eastAsia="hr-HR"/>
        </w:rPr>
        <w:t>odnose na rashode Županije (</w:t>
      </w:r>
      <w:r w:rsidR="00645680" w:rsidRPr="00A17B6F">
        <w:rPr>
          <w:rFonts w:ascii="Arial" w:eastAsia="Times New Roman" w:hAnsi="Arial" w:cs="Times New Roman"/>
          <w:sz w:val="24"/>
          <w:szCs w:val="24"/>
          <w:lang w:eastAsia="hr-HR"/>
        </w:rPr>
        <w:t>422.845,52</w:t>
      </w:r>
      <w:r w:rsidR="00455A09"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budući da proračunski korisnici</w:t>
      </w:r>
      <w:r w:rsidR="003134F0" w:rsidRPr="00A17B6F">
        <w:rPr>
          <w:rFonts w:ascii="Arial" w:eastAsia="Times New Roman" w:hAnsi="Arial" w:cs="Times New Roman"/>
          <w:sz w:val="24"/>
          <w:szCs w:val="24"/>
          <w:lang w:eastAsia="hr-HR"/>
        </w:rPr>
        <w:t>, u pravilu,</w:t>
      </w:r>
      <w:r w:rsidRPr="00A17B6F">
        <w:rPr>
          <w:rFonts w:ascii="Arial" w:eastAsia="Times New Roman" w:hAnsi="Arial" w:cs="Times New Roman"/>
          <w:sz w:val="24"/>
          <w:szCs w:val="24"/>
          <w:lang w:eastAsia="hr-HR"/>
        </w:rPr>
        <w:t xml:space="preserve"> ne dodjeljuju subvencije, osim kao što je to slučaj u ovom izvještajnom razdoblju gdje je Ugostiteljska škola Opatija u okviru EU projekta </w:t>
      </w:r>
      <w:r w:rsidR="004302B1" w:rsidRPr="00A17B6F">
        <w:rPr>
          <w:rFonts w:ascii="Arial" w:eastAsia="Times New Roman" w:hAnsi="Arial" w:cs="Times New Roman"/>
          <w:sz w:val="24"/>
          <w:szCs w:val="24"/>
          <w:lang w:eastAsia="hr-HR"/>
        </w:rPr>
        <w:t xml:space="preserve">RCK RECEPT – Regionalni centar profesija u turizmu </w:t>
      </w:r>
      <w:r w:rsidRPr="00A17B6F">
        <w:rPr>
          <w:rFonts w:ascii="Arial" w:eastAsia="Times New Roman" w:hAnsi="Arial" w:cs="Times New Roman"/>
          <w:sz w:val="24"/>
          <w:szCs w:val="24"/>
          <w:lang w:eastAsia="hr-HR"/>
        </w:rPr>
        <w:t xml:space="preserve">za partnere imala pravne osobe, poduzetnike, te je dio sredstava u obliku subvencija </w:t>
      </w:r>
      <w:r w:rsidR="00645680" w:rsidRPr="00A17B6F">
        <w:rPr>
          <w:rFonts w:ascii="Arial" w:eastAsia="Times New Roman" w:hAnsi="Arial" w:cs="Times New Roman"/>
          <w:sz w:val="24"/>
          <w:szCs w:val="24"/>
          <w:lang w:eastAsia="hr-HR"/>
        </w:rPr>
        <w:t xml:space="preserve">(91.288,86 eura) doznačila parterima. </w:t>
      </w:r>
      <w:r w:rsidRPr="00A17B6F">
        <w:rPr>
          <w:rFonts w:ascii="Arial" w:eastAsia="Times New Roman" w:hAnsi="Arial" w:cs="Times New Roman"/>
          <w:sz w:val="24"/>
          <w:szCs w:val="24"/>
          <w:lang w:eastAsia="hr-HR"/>
        </w:rPr>
        <w:t xml:space="preserve">Od navedenog iznosa koje je Županija </w:t>
      </w:r>
      <w:r w:rsidR="00455A09" w:rsidRPr="00A17B6F">
        <w:rPr>
          <w:rFonts w:ascii="Arial" w:eastAsia="Times New Roman" w:hAnsi="Arial" w:cs="Times New Roman"/>
          <w:sz w:val="24"/>
          <w:szCs w:val="24"/>
          <w:lang w:eastAsia="hr-HR"/>
        </w:rPr>
        <w:t>realizirala</w:t>
      </w:r>
      <w:r w:rsidRPr="00A17B6F">
        <w:rPr>
          <w:rFonts w:ascii="Arial" w:eastAsia="Times New Roman" w:hAnsi="Arial" w:cs="Times New Roman"/>
          <w:sz w:val="24"/>
          <w:szCs w:val="24"/>
          <w:lang w:eastAsia="hr-HR"/>
        </w:rPr>
        <w:t xml:space="preserve">, </w:t>
      </w:r>
      <w:r w:rsidR="00455A09" w:rsidRPr="00A17B6F">
        <w:rPr>
          <w:rFonts w:ascii="Arial" w:eastAsia="Times New Roman" w:hAnsi="Arial" w:cs="Times New Roman"/>
          <w:sz w:val="24"/>
          <w:szCs w:val="24"/>
          <w:lang w:eastAsia="hr-HR"/>
        </w:rPr>
        <w:t>392.5</w:t>
      </w:r>
      <w:r w:rsidR="00645680" w:rsidRPr="00A17B6F">
        <w:rPr>
          <w:rFonts w:ascii="Arial" w:eastAsia="Times New Roman" w:hAnsi="Arial" w:cs="Times New Roman"/>
          <w:sz w:val="24"/>
          <w:szCs w:val="24"/>
          <w:lang w:eastAsia="hr-HR"/>
        </w:rPr>
        <w:t>5</w:t>
      </w:r>
      <w:r w:rsidR="00455A09" w:rsidRPr="00A17B6F">
        <w:rPr>
          <w:rFonts w:ascii="Arial" w:eastAsia="Times New Roman" w:hAnsi="Arial" w:cs="Times New Roman"/>
          <w:sz w:val="24"/>
          <w:szCs w:val="24"/>
          <w:lang w:eastAsia="hr-HR"/>
        </w:rPr>
        <w:t>0,00 eura</w:t>
      </w:r>
      <w:r w:rsidRPr="00A17B6F">
        <w:rPr>
          <w:rFonts w:ascii="Arial" w:eastAsia="Times New Roman" w:hAnsi="Arial" w:cs="Times New Roman"/>
          <w:sz w:val="24"/>
          <w:szCs w:val="24"/>
          <w:lang w:eastAsia="hr-HR"/>
        </w:rPr>
        <w:t xml:space="preserve"> se odnosi na subvencije isplaćene trgovačkim društvima u javnom sektoru, dok se </w:t>
      </w:r>
      <w:r w:rsidR="00797438" w:rsidRPr="00A17B6F">
        <w:rPr>
          <w:rFonts w:ascii="Arial" w:eastAsia="Times New Roman" w:hAnsi="Arial" w:cs="Times New Roman"/>
          <w:sz w:val="24"/>
          <w:szCs w:val="24"/>
          <w:lang w:eastAsia="hr-HR"/>
        </w:rPr>
        <w:t>30.295,52</w:t>
      </w:r>
      <w:r w:rsidR="00455A09"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odnosi na subvencije isplaćene trgovačkim društvima, poljoprivrednicima i </w:t>
      </w:r>
      <w:r w:rsidR="00455A09" w:rsidRPr="00A17B6F">
        <w:rPr>
          <w:rFonts w:ascii="Arial" w:eastAsia="Times New Roman" w:hAnsi="Arial" w:cs="Times New Roman"/>
          <w:sz w:val="24"/>
          <w:szCs w:val="24"/>
          <w:lang w:eastAsia="hr-HR"/>
        </w:rPr>
        <w:t>obrtnicima izvan javnog sektora.</w:t>
      </w:r>
      <w:r w:rsidRPr="00A17B6F">
        <w:rPr>
          <w:rFonts w:ascii="Arial" w:eastAsia="Times New Roman" w:hAnsi="Arial" w:cs="Times New Roman"/>
          <w:sz w:val="24"/>
          <w:szCs w:val="24"/>
          <w:lang w:eastAsia="hr-HR"/>
        </w:rPr>
        <w:t xml:space="preserve"> </w:t>
      </w:r>
      <w:r w:rsidR="00797438" w:rsidRPr="00A17B6F">
        <w:rPr>
          <w:rFonts w:ascii="Arial" w:eastAsia="Times New Roman" w:hAnsi="Arial" w:cs="Times New Roman"/>
          <w:sz w:val="24"/>
          <w:szCs w:val="24"/>
          <w:lang w:eastAsia="hr-HR"/>
        </w:rPr>
        <w:t>Cjelokupan</w:t>
      </w:r>
      <w:r w:rsidR="004302B1" w:rsidRPr="00A17B6F">
        <w:rPr>
          <w:rFonts w:ascii="Arial" w:eastAsia="Times New Roman" w:hAnsi="Arial" w:cs="Times New Roman"/>
          <w:sz w:val="24"/>
          <w:szCs w:val="24"/>
          <w:lang w:eastAsia="hr-HR"/>
        </w:rPr>
        <w:t xml:space="preserve"> iznos isplaćeni</w:t>
      </w:r>
      <w:r w:rsidR="00797438" w:rsidRPr="00A17B6F">
        <w:rPr>
          <w:rFonts w:ascii="Arial" w:eastAsia="Times New Roman" w:hAnsi="Arial" w:cs="Times New Roman"/>
          <w:sz w:val="24"/>
          <w:szCs w:val="24"/>
          <w:lang w:eastAsia="hr-HR"/>
        </w:rPr>
        <w:t>h</w:t>
      </w:r>
      <w:r w:rsidR="004302B1" w:rsidRPr="00A17B6F">
        <w:rPr>
          <w:rFonts w:ascii="Arial" w:eastAsia="Times New Roman" w:hAnsi="Arial" w:cs="Times New Roman"/>
          <w:sz w:val="24"/>
          <w:szCs w:val="24"/>
          <w:lang w:eastAsia="hr-HR"/>
        </w:rPr>
        <w:t xml:space="preserve"> subvencija trgovačkim društvima u javnom sektoru u prvoj polovici godine odnosi se na isplate </w:t>
      </w:r>
      <w:r w:rsidRPr="00A17B6F">
        <w:rPr>
          <w:rFonts w:ascii="Arial" w:eastAsia="Times New Roman" w:hAnsi="Arial" w:cs="Times New Roman"/>
          <w:sz w:val="24"/>
          <w:szCs w:val="24"/>
          <w:lang w:eastAsia="hr-HR"/>
        </w:rPr>
        <w:t>Goranskom sportskom centru d.o.o.</w:t>
      </w:r>
      <w:r w:rsidR="007A4419" w:rsidRPr="00A17B6F">
        <w:rPr>
          <w:rFonts w:ascii="Arial" w:eastAsia="Times New Roman" w:hAnsi="Arial" w:cs="Times New Roman"/>
          <w:sz w:val="24"/>
          <w:szCs w:val="24"/>
          <w:lang w:eastAsia="hr-HR"/>
        </w:rPr>
        <w:t xml:space="preserve"> u sklopu aktivnost </w:t>
      </w:r>
      <w:r w:rsidR="007A4419" w:rsidRPr="00A17B6F">
        <w:rPr>
          <w:rFonts w:ascii="Arial" w:eastAsia="Times New Roman" w:hAnsi="Arial" w:cs="Times New Roman"/>
          <w:i/>
          <w:sz w:val="24"/>
          <w:szCs w:val="24"/>
          <w:lang w:eastAsia="hr-HR"/>
        </w:rPr>
        <w:t xml:space="preserve">A510518 Upravljanje RSRTC </w:t>
      </w:r>
      <w:proofErr w:type="spellStart"/>
      <w:r w:rsidR="007A4419" w:rsidRPr="00A17B6F">
        <w:rPr>
          <w:rFonts w:ascii="Arial" w:eastAsia="Times New Roman" w:hAnsi="Arial" w:cs="Times New Roman"/>
          <w:i/>
          <w:sz w:val="24"/>
          <w:szCs w:val="24"/>
          <w:lang w:eastAsia="hr-HR"/>
        </w:rPr>
        <w:t>Platak</w:t>
      </w:r>
      <w:proofErr w:type="spellEnd"/>
      <w:r w:rsidR="007A4419" w:rsidRPr="00A17B6F">
        <w:rPr>
          <w:rFonts w:ascii="Arial" w:eastAsia="Times New Roman" w:hAnsi="Arial" w:cs="Times New Roman"/>
          <w:sz w:val="24"/>
          <w:szCs w:val="24"/>
          <w:lang w:eastAsia="hr-HR"/>
        </w:rPr>
        <w:t xml:space="preserve"> (233.250,00 eura) i </w:t>
      </w:r>
      <w:r w:rsidR="007A4419" w:rsidRPr="00A17B6F">
        <w:rPr>
          <w:rFonts w:ascii="Arial" w:eastAsia="Times New Roman" w:hAnsi="Arial" w:cs="Times New Roman"/>
          <w:i/>
          <w:sz w:val="24"/>
          <w:szCs w:val="24"/>
          <w:lang w:eastAsia="hr-HR"/>
        </w:rPr>
        <w:t>A510519 Centar bazičnih priprema</w:t>
      </w:r>
      <w:r w:rsidR="007A4419" w:rsidRPr="00A17B6F">
        <w:rPr>
          <w:rFonts w:ascii="Arial" w:eastAsia="Times New Roman" w:hAnsi="Arial" w:cs="Times New Roman"/>
          <w:sz w:val="24"/>
          <w:szCs w:val="24"/>
          <w:lang w:eastAsia="hr-HR"/>
        </w:rPr>
        <w:t xml:space="preserve"> (159.</w:t>
      </w:r>
      <w:r w:rsidR="00797438" w:rsidRPr="00A17B6F">
        <w:rPr>
          <w:rFonts w:ascii="Arial" w:eastAsia="Times New Roman" w:hAnsi="Arial" w:cs="Times New Roman"/>
          <w:sz w:val="24"/>
          <w:szCs w:val="24"/>
          <w:lang w:eastAsia="hr-HR"/>
        </w:rPr>
        <w:t>300</w:t>
      </w:r>
      <w:r w:rsidR="007A4419" w:rsidRPr="00A17B6F">
        <w:rPr>
          <w:rFonts w:ascii="Arial" w:eastAsia="Times New Roman" w:hAnsi="Arial" w:cs="Times New Roman"/>
          <w:sz w:val="24"/>
          <w:szCs w:val="24"/>
          <w:lang w:eastAsia="hr-HR"/>
        </w:rPr>
        <w:t>,00 eura)</w:t>
      </w:r>
      <w:r w:rsidR="00797438" w:rsidRPr="00A17B6F">
        <w:rPr>
          <w:rFonts w:ascii="Arial" w:eastAsia="Times New Roman" w:hAnsi="Arial" w:cs="Times New Roman"/>
          <w:sz w:val="24"/>
          <w:szCs w:val="24"/>
          <w:lang w:eastAsia="hr-HR"/>
        </w:rPr>
        <w:t xml:space="preserve">. </w:t>
      </w:r>
      <w:r w:rsidRPr="00A17B6F">
        <w:rPr>
          <w:rFonts w:ascii="Arial" w:eastAsia="Times New Roman" w:hAnsi="Arial" w:cs="Times New Roman"/>
          <w:sz w:val="24"/>
          <w:szCs w:val="24"/>
          <w:lang w:eastAsia="hr-HR"/>
        </w:rPr>
        <w:t>Isplate subvencija pravnim osobama izvan javnog sektora vršene su</w:t>
      </w:r>
      <w:r w:rsidR="004302B1" w:rsidRPr="00A17B6F">
        <w:rPr>
          <w:rFonts w:ascii="Arial" w:eastAsia="Times New Roman" w:hAnsi="Arial" w:cs="Times New Roman"/>
          <w:sz w:val="24"/>
          <w:szCs w:val="24"/>
          <w:lang w:eastAsia="hr-HR"/>
        </w:rPr>
        <w:t xml:space="preserve"> u sklopu programa </w:t>
      </w:r>
      <w:r w:rsidR="004302B1" w:rsidRPr="00A17B6F">
        <w:rPr>
          <w:rFonts w:ascii="Arial" w:eastAsia="Times New Roman" w:hAnsi="Arial" w:cs="Times New Roman"/>
          <w:i/>
          <w:sz w:val="24"/>
          <w:szCs w:val="24"/>
          <w:lang w:eastAsia="hr-HR"/>
        </w:rPr>
        <w:t xml:space="preserve">8003 Razvoja </w:t>
      </w:r>
      <w:r w:rsidRPr="00A17B6F">
        <w:rPr>
          <w:rFonts w:ascii="Arial" w:eastAsia="Times New Roman" w:hAnsi="Arial" w:cs="Times New Roman"/>
          <w:i/>
          <w:sz w:val="24"/>
          <w:szCs w:val="24"/>
          <w:lang w:eastAsia="hr-HR"/>
        </w:rPr>
        <w:t>poduzetništva</w:t>
      </w:r>
      <w:r w:rsidRPr="00A17B6F">
        <w:rPr>
          <w:rFonts w:ascii="Arial" w:eastAsia="Times New Roman" w:hAnsi="Arial" w:cs="Times New Roman"/>
          <w:sz w:val="24"/>
          <w:szCs w:val="24"/>
          <w:lang w:eastAsia="hr-HR"/>
        </w:rPr>
        <w:t xml:space="preserve"> (</w:t>
      </w:r>
      <w:r w:rsidR="00797438" w:rsidRPr="00A17B6F">
        <w:rPr>
          <w:rFonts w:ascii="Arial" w:eastAsia="Times New Roman" w:hAnsi="Arial" w:cs="Times New Roman"/>
          <w:sz w:val="24"/>
          <w:szCs w:val="24"/>
          <w:lang w:eastAsia="hr-HR"/>
        </w:rPr>
        <w:t>23.797,49</w:t>
      </w:r>
      <w:r w:rsidR="007A4419"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programa </w:t>
      </w:r>
      <w:r w:rsidRPr="00A17B6F">
        <w:rPr>
          <w:rFonts w:ascii="Arial" w:eastAsia="Times New Roman" w:hAnsi="Arial" w:cs="Times New Roman"/>
          <w:i/>
          <w:sz w:val="24"/>
          <w:szCs w:val="24"/>
          <w:lang w:eastAsia="hr-HR"/>
        </w:rPr>
        <w:t xml:space="preserve">8007 </w:t>
      </w:r>
      <w:r w:rsidR="0068385F" w:rsidRPr="00A17B6F">
        <w:rPr>
          <w:rFonts w:ascii="Arial" w:eastAsia="Times New Roman" w:hAnsi="Arial" w:cs="Times New Roman"/>
          <w:i/>
          <w:sz w:val="24"/>
          <w:szCs w:val="24"/>
          <w:lang w:eastAsia="hr-HR"/>
        </w:rPr>
        <w:t xml:space="preserve">Razvoj </w:t>
      </w:r>
      <w:r w:rsidRPr="00A17B6F">
        <w:rPr>
          <w:rFonts w:ascii="Arial" w:eastAsia="Times New Roman" w:hAnsi="Arial" w:cs="Times New Roman"/>
          <w:i/>
          <w:sz w:val="24"/>
          <w:szCs w:val="24"/>
          <w:lang w:eastAsia="hr-HR"/>
        </w:rPr>
        <w:t>turizma</w:t>
      </w:r>
      <w:r w:rsidRPr="00A17B6F">
        <w:rPr>
          <w:rFonts w:ascii="Arial" w:eastAsia="Times New Roman" w:hAnsi="Arial" w:cs="Times New Roman"/>
          <w:sz w:val="24"/>
          <w:szCs w:val="24"/>
          <w:lang w:eastAsia="hr-HR"/>
        </w:rPr>
        <w:t xml:space="preserve"> (</w:t>
      </w:r>
      <w:r w:rsidR="00797438" w:rsidRPr="00A17B6F">
        <w:rPr>
          <w:rFonts w:ascii="Arial" w:eastAsia="Times New Roman" w:hAnsi="Arial" w:cs="Times New Roman"/>
          <w:sz w:val="24"/>
          <w:szCs w:val="24"/>
          <w:lang w:eastAsia="hr-HR"/>
        </w:rPr>
        <w:t xml:space="preserve">115,68 </w:t>
      </w:r>
      <w:r w:rsidR="00927F6A" w:rsidRPr="00A17B6F">
        <w:rPr>
          <w:rFonts w:ascii="Arial" w:eastAsia="Times New Roman" w:hAnsi="Arial" w:cs="Times New Roman"/>
          <w:sz w:val="24"/>
          <w:szCs w:val="24"/>
          <w:lang w:eastAsia="hr-HR"/>
        </w:rPr>
        <w:t>eura</w:t>
      </w:r>
      <w:r w:rsidR="00797438" w:rsidRPr="00A17B6F">
        <w:rPr>
          <w:rFonts w:ascii="Arial" w:eastAsia="Times New Roman" w:hAnsi="Arial" w:cs="Times New Roman"/>
          <w:sz w:val="24"/>
          <w:szCs w:val="24"/>
          <w:lang w:eastAsia="hr-HR"/>
        </w:rPr>
        <w:t>) te</w:t>
      </w:r>
      <w:r w:rsidRPr="00A17B6F">
        <w:rPr>
          <w:rFonts w:ascii="Arial" w:eastAsia="Times New Roman" w:hAnsi="Arial" w:cs="Times New Roman"/>
          <w:sz w:val="24"/>
          <w:szCs w:val="24"/>
          <w:lang w:eastAsia="hr-HR"/>
        </w:rPr>
        <w:t xml:space="preserve"> programa </w:t>
      </w:r>
      <w:r w:rsidR="0068385F" w:rsidRPr="00A17B6F">
        <w:rPr>
          <w:rFonts w:ascii="Arial" w:eastAsia="Times New Roman" w:hAnsi="Arial" w:cs="Times New Roman"/>
          <w:i/>
          <w:sz w:val="24"/>
          <w:szCs w:val="24"/>
          <w:lang w:eastAsia="hr-HR"/>
        </w:rPr>
        <w:t xml:space="preserve">7003 </w:t>
      </w:r>
      <w:r w:rsidRPr="00A17B6F">
        <w:rPr>
          <w:rFonts w:ascii="Arial" w:eastAsia="Times New Roman" w:hAnsi="Arial" w:cs="Times New Roman"/>
          <w:i/>
          <w:sz w:val="24"/>
          <w:szCs w:val="24"/>
          <w:lang w:eastAsia="hr-HR"/>
        </w:rPr>
        <w:t xml:space="preserve">Razvoj </w:t>
      </w:r>
      <w:r w:rsidR="0068385F" w:rsidRPr="00A17B6F">
        <w:rPr>
          <w:rFonts w:ascii="Arial" w:eastAsia="Times New Roman" w:hAnsi="Arial" w:cs="Times New Roman"/>
          <w:i/>
          <w:sz w:val="24"/>
          <w:szCs w:val="24"/>
          <w:lang w:eastAsia="hr-HR"/>
        </w:rPr>
        <w:t>prometa</w:t>
      </w:r>
      <w:r w:rsidRPr="00A17B6F">
        <w:rPr>
          <w:rFonts w:ascii="Arial" w:eastAsia="Times New Roman" w:hAnsi="Arial" w:cs="Times New Roman"/>
          <w:sz w:val="24"/>
          <w:szCs w:val="24"/>
          <w:lang w:eastAsia="hr-HR"/>
        </w:rPr>
        <w:t xml:space="preserve"> (</w:t>
      </w:r>
      <w:r w:rsidR="00797438" w:rsidRPr="00A17B6F">
        <w:rPr>
          <w:rFonts w:ascii="Arial" w:eastAsia="Times New Roman" w:hAnsi="Arial" w:cs="Times New Roman"/>
          <w:sz w:val="24"/>
          <w:szCs w:val="24"/>
          <w:lang w:eastAsia="hr-HR"/>
        </w:rPr>
        <w:t>6.382,35</w:t>
      </w:r>
      <w:r w:rsidR="00927F6A" w:rsidRPr="00A17B6F">
        <w:rPr>
          <w:rFonts w:ascii="Arial" w:eastAsia="Times New Roman" w:hAnsi="Arial" w:cs="Times New Roman"/>
          <w:sz w:val="24"/>
          <w:szCs w:val="24"/>
          <w:lang w:eastAsia="hr-HR"/>
        </w:rPr>
        <w:t xml:space="preserve"> eura</w:t>
      </w:r>
      <w:r w:rsidR="0068385F" w:rsidRPr="00A17B6F">
        <w:rPr>
          <w:rFonts w:ascii="Arial" w:eastAsia="Times New Roman" w:hAnsi="Arial" w:cs="Times New Roman"/>
          <w:sz w:val="24"/>
          <w:szCs w:val="24"/>
          <w:lang w:eastAsia="hr-HR"/>
        </w:rPr>
        <w:t>)</w:t>
      </w:r>
      <w:r w:rsidR="00797438" w:rsidRPr="00A17B6F">
        <w:rPr>
          <w:rFonts w:ascii="Arial" w:eastAsia="Times New Roman" w:hAnsi="Arial" w:cs="Times New Roman"/>
          <w:sz w:val="24"/>
          <w:szCs w:val="24"/>
          <w:lang w:eastAsia="hr-HR"/>
        </w:rPr>
        <w:t>.</w:t>
      </w:r>
      <w:r w:rsidR="0068385F" w:rsidRPr="00A17B6F">
        <w:rPr>
          <w:rFonts w:ascii="Arial" w:eastAsia="Times New Roman" w:hAnsi="Arial" w:cs="Times New Roman"/>
          <w:sz w:val="24"/>
          <w:szCs w:val="24"/>
          <w:lang w:eastAsia="hr-HR"/>
        </w:rPr>
        <w:t xml:space="preserve"> </w:t>
      </w:r>
    </w:p>
    <w:p w14:paraId="31CE06EA" w14:textId="1E25A6A6" w:rsidR="002E5D8E" w:rsidRPr="00A17B6F" w:rsidRDefault="002E5D8E" w:rsidP="00AD3610">
      <w:pPr>
        <w:spacing w:after="120" w:line="240" w:lineRule="auto"/>
        <w:ind w:firstLine="357"/>
        <w:jc w:val="both"/>
        <w:rPr>
          <w:rFonts w:ascii="Arial" w:eastAsia="Times New Roman" w:hAnsi="Arial" w:cs="Times New Roman"/>
          <w:b/>
          <w:sz w:val="24"/>
          <w:szCs w:val="24"/>
          <w:lang w:eastAsia="hr-HR"/>
        </w:rPr>
      </w:pPr>
      <w:r w:rsidRPr="00A17B6F">
        <w:rPr>
          <w:rFonts w:ascii="Arial" w:eastAsia="Times New Roman" w:hAnsi="Arial" w:cs="Times New Roman"/>
          <w:sz w:val="24"/>
          <w:szCs w:val="24"/>
          <w:lang w:eastAsia="hr-HR"/>
        </w:rPr>
        <w:t xml:space="preserve">Sredstva </w:t>
      </w:r>
      <w:r w:rsidRPr="00A17B6F">
        <w:rPr>
          <w:rFonts w:ascii="Arial" w:eastAsia="Times New Roman" w:hAnsi="Arial" w:cs="Times New Roman"/>
          <w:b/>
          <w:bCs/>
          <w:sz w:val="24"/>
          <w:szCs w:val="24"/>
          <w:lang w:eastAsia="hr-HR"/>
        </w:rPr>
        <w:t>pomoći</w:t>
      </w:r>
      <w:r w:rsidRPr="00A17B6F">
        <w:rPr>
          <w:rFonts w:ascii="Arial" w:eastAsia="Times New Roman" w:hAnsi="Arial" w:cs="Times New Roman"/>
          <w:b/>
          <w:sz w:val="24"/>
          <w:szCs w:val="24"/>
          <w:lang w:eastAsia="hr-HR"/>
        </w:rPr>
        <w:t xml:space="preserve"> danih u inozemstvo ili unutar općeg proračuna</w:t>
      </w:r>
      <w:r w:rsidRPr="00A17B6F">
        <w:rPr>
          <w:rFonts w:ascii="Arial" w:eastAsia="Times New Roman" w:hAnsi="Arial" w:cs="Times New Roman"/>
          <w:sz w:val="24"/>
          <w:szCs w:val="24"/>
          <w:lang w:eastAsia="hr-HR"/>
        </w:rPr>
        <w:t xml:space="preserve"> realizi</w:t>
      </w:r>
      <w:r w:rsidR="007E3761" w:rsidRPr="00A17B6F">
        <w:rPr>
          <w:rFonts w:ascii="Arial" w:eastAsia="Times New Roman" w:hAnsi="Arial" w:cs="Times New Roman"/>
          <w:sz w:val="24"/>
          <w:szCs w:val="24"/>
          <w:lang w:eastAsia="hr-HR"/>
        </w:rPr>
        <w:t>rana su u prvom polugodištu 202</w:t>
      </w:r>
      <w:r w:rsidR="00797438" w:rsidRPr="00A17B6F">
        <w:rPr>
          <w:rFonts w:ascii="Arial" w:eastAsia="Times New Roman" w:hAnsi="Arial" w:cs="Times New Roman"/>
          <w:sz w:val="24"/>
          <w:szCs w:val="24"/>
          <w:lang w:eastAsia="hr-HR"/>
        </w:rPr>
        <w:t>4</w:t>
      </w:r>
      <w:r w:rsidRPr="00A17B6F">
        <w:rPr>
          <w:rFonts w:ascii="Arial" w:eastAsia="Times New Roman" w:hAnsi="Arial" w:cs="Times New Roman"/>
          <w:sz w:val="24"/>
          <w:szCs w:val="24"/>
          <w:lang w:eastAsia="hr-HR"/>
        </w:rPr>
        <w:t>. godine u ukupnom iznosu od</w:t>
      </w:r>
      <w:r w:rsidRPr="00A17B6F">
        <w:rPr>
          <w:rFonts w:ascii="Arial" w:eastAsia="Times New Roman" w:hAnsi="Arial" w:cs="Times New Roman"/>
          <w:color w:val="FF0000"/>
          <w:sz w:val="24"/>
          <w:szCs w:val="24"/>
          <w:lang w:eastAsia="hr-HR"/>
        </w:rPr>
        <w:t xml:space="preserve"> </w:t>
      </w:r>
      <w:r w:rsidR="00797438" w:rsidRPr="00A17B6F">
        <w:rPr>
          <w:rFonts w:ascii="Arial" w:eastAsia="Times New Roman" w:hAnsi="Arial" w:cs="Times New Roman"/>
          <w:sz w:val="24"/>
          <w:szCs w:val="24"/>
          <w:lang w:eastAsia="hr-HR"/>
        </w:rPr>
        <w:t>2.020.465,59</w:t>
      </w:r>
      <w:r w:rsidR="00927F6A"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w:t>
      </w:r>
      <w:r w:rsidR="00797438" w:rsidRPr="00A17B6F">
        <w:rPr>
          <w:rFonts w:ascii="Arial" w:eastAsia="Times New Roman" w:hAnsi="Arial" w:cs="Times New Roman"/>
          <w:sz w:val="24"/>
          <w:szCs w:val="24"/>
          <w:lang w:eastAsia="hr-HR"/>
        </w:rPr>
        <w:t>25,12</w:t>
      </w:r>
      <w:r w:rsidRPr="00A17B6F">
        <w:rPr>
          <w:rFonts w:ascii="Arial" w:eastAsia="Times New Roman" w:hAnsi="Arial" w:cs="Times New Roman"/>
          <w:sz w:val="24"/>
          <w:szCs w:val="24"/>
          <w:lang w:eastAsia="hr-HR"/>
        </w:rPr>
        <w:t xml:space="preserve">% godišnjeg plana), odnosno </w:t>
      </w:r>
      <w:r w:rsidR="00797438" w:rsidRPr="00A17B6F">
        <w:rPr>
          <w:rFonts w:ascii="Arial" w:eastAsia="Times New Roman" w:hAnsi="Arial" w:cs="Times New Roman"/>
          <w:sz w:val="24"/>
          <w:szCs w:val="24"/>
          <w:lang w:eastAsia="hr-HR"/>
        </w:rPr>
        <w:t>157,35</w:t>
      </w:r>
      <w:r w:rsidRPr="00A17B6F">
        <w:rPr>
          <w:rFonts w:ascii="Arial" w:eastAsia="Times New Roman" w:hAnsi="Arial" w:cs="Times New Roman"/>
          <w:sz w:val="24"/>
          <w:szCs w:val="24"/>
          <w:lang w:eastAsia="hr-HR"/>
        </w:rPr>
        <w:t xml:space="preserve">% </w:t>
      </w:r>
      <w:r w:rsidR="00797438" w:rsidRPr="00A17B6F">
        <w:rPr>
          <w:rFonts w:ascii="Arial" w:eastAsia="Times New Roman" w:hAnsi="Arial" w:cs="Times New Roman"/>
          <w:sz w:val="24"/>
          <w:szCs w:val="24"/>
          <w:lang w:eastAsia="hr-HR"/>
        </w:rPr>
        <w:t>više</w:t>
      </w:r>
      <w:r w:rsidRPr="00A17B6F">
        <w:rPr>
          <w:rFonts w:ascii="Arial" w:eastAsia="Times New Roman" w:hAnsi="Arial" w:cs="Times New Roman"/>
          <w:sz w:val="24"/>
          <w:szCs w:val="24"/>
          <w:lang w:eastAsia="hr-HR"/>
        </w:rPr>
        <w:t xml:space="preserve"> u odnosu na </w:t>
      </w:r>
      <w:r w:rsidR="007E3761" w:rsidRPr="00A17B6F">
        <w:rPr>
          <w:rFonts w:ascii="Arial" w:eastAsia="Times New Roman" w:hAnsi="Arial" w:cs="Times New Roman"/>
          <w:sz w:val="24"/>
          <w:szCs w:val="24"/>
          <w:lang w:eastAsia="hr-HR"/>
        </w:rPr>
        <w:t>isto razdoblje prošle</w:t>
      </w:r>
      <w:r w:rsidRPr="00A17B6F">
        <w:rPr>
          <w:rFonts w:ascii="Arial" w:eastAsia="Times New Roman" w:hAnsi="Arial" w:cs="Times New Roman"/>
          <w:sz w:val="24"/>
          <w:szCs w:val="24"/>
          <w:lang w:eastAsia="hr-HR"/>
        </w:rPr>
        <w:t xml:space="preserve"> godin</w:t>
      </w:r>
      <w:r w:rsidR="007E3761" w:rsidRPr="00A17B6F">
        <w:rPr>
          <w:rFonts w:ascii="Arial" w:eastAsia="Times New Roman" w:hAnsi="Arial" w:cs="Times New Roman"/>
          <w:sz w:val="24"/>
          <w:szCs w:val="24"/>
          <w:lang w:eastAsia="hr-HR"/>
        </w:rPr>
        <w:t>e</w:t>
      </w:r>
      <w:r w:rsidRPr="00A17B6F">
        <w:rPr>
          <w:rFonts w:ascii="Arial" w:eastAsia="Times New Roman" w:hAnsi="Arial" w:cs="Times New Roman"/>
          <w:sz w:val="24"/>
          <w:szCs w:val="24"/>
          <w:lang w:eastAsia="hr-HR"/>
        </w:rPr>
        <w:t xml:space="preserve">. Od ukupnog realiziranog iznosa pomoći, </w:t>
      </w:r>
      <w:r w:rsidR="00797438" w:rsidRPr="00A17B6F">
        <w:rPr>
          <w:rFonts w:ascii="Arial" w:eastAsia="Times New Roman" w:hAnsi="Arial" w:cs="Times New Roman"/>
          <w:sz w:val="24"/>
          <w:szCs w:val="24"/>
          <w:lang w:eastAsia="hr-HR"/>
        </w:rPr>
        <w:t xml:space="preserve">201.651,59 eura se odnosi na </w:t>
      </w:r>
      <w:r w:rsidR="00797438" w:rsidRPr="00A17B6F">
        <w:rPr>
          <w:rFonts w:ascii="Arial" w:eastAsia="Times New Roman" w:hAnsi="Arial" w:cs="Times New Roman"/>
          <w:b/>
          <w:sz w:val="24"/>
          <w:szCs w:val="24"/>
          <w:lang w:eastAsia="hr-HR"/>
        </w:rPr>
        <w:t>pomoći inozemnim vladama</w:t>
      </w:r>
      <w:r w:rsidR="00797438" w:rsidRPr="00A17B6F">
        <w:rPr>
          <w:rFonts w:ascii="Arial" w:eastAsia="Times New Roman" w:hAnsi="Arial" w:cs="Times New Roman"/>
          <w:sz w:val="24"/>
          <w:szCs w:val="24"/>
          <w:lang w:eastAsia="hr-HR"/>
        </w:rPr>
        <w:t>, 440.548,35</w:t>
      </w:r>
      <w:r w:rsidR="00927F6A" w:rsidRPr="00A17B6F">
        <w:rPr>
          <w:rFonts w:ascii="Arial" w:eastAsia="Times New Roman" w:hAnsi="Arial" w:cs="Times New Roman"/>
          <w:sz w:val="24"/>
          <w:szCs w:val="24"/>
          <w:lang w:eastAsia="hr-HR"/>
        </w:rPr>
        <w:t xml:space="preserve"> eura</w:t>
      </w:r>
      <w:r w:rsidR="00AD3610" w:rsidRPr="00A17B6F">
        <w:rPr>
          <w:rFonts w:ascii="Arial" w:eastAsia="Times New Roman" w:hAnsi="Arial" w:cs="Times New Roman"/>
          <w:sz w:val="24"/>
          <w:szCs w:val="24"/>
          <w:lang w:eastAsia="hr-HR"/>
        </w:rPr>
        <w:t xml:space="preserve"> odnosi </w:t>
      </w:r>
      <w:r w:rsidR="00AD3610" w:rsidRPr="00A17B6F">
        <w:rPr>
          <w:rFonts w:ascii="Arial" w:eastAsia="Times New Roman" w:hAnsi="Arial" w:cs="Times New Roman"/>
          <w:sz w:val="24"/>
          <w:szCs w:val="24"/>
          <w:lang w:eastAsia="hr-HR"/>
        </w:rPr>
        <w:lastRenderedPageBreak/>
        <w:t xml:space="preserve">se na </w:t>
      </w:r>
      <w:r w:rsidR="00AD3610" w:rsidRPr="00A17B6F">
        <w:rPr>
          <w:rFonts w:ascii="Arial" w:eastAsia="Times New Roman" w:hAnsi="Arial" w:cs="Times New Roman"/>
          <w:b/>
          <w:sz w:val="24"/>
          <w:szCs w:val="24"/>
          <w:lang w:eastAsia="hr-HR"/>
        </w:rPr>
        <w:t>pomoći unutar općeg proračuna</w:t>
      </w:r>
      <w:r w:rsidR="00AD3610" w:rsidRPr="00A17B6F">
        <w:rPr>
          <w:rFonts w:ascii="Arial" w:eastAsia="Times New Roman" w:hAnsi="Arial" w:cs="Times New Roman"/>
          <w:sz w:val="24"/>
          <w:szCs w:val="24"/>
          <w:lang w:eastAsia="hr-HR"/>
        </w:rPr>
        <w:t xml:space="preserve">, </w:t>
      </w:r>
      <w:r w:rsidR="00797438" w:rsidRPr="00A17B6F">
        <w:rPr>
          <w:rFonts w:ascii="Arial" w:eastAsia="Times New Roman" w:hAnsi="Arial" w:cs="Times New Roman"/>
          <w:sz w:val="24"/>
          <w:szCs w:val="24"/>
          <w:lang w:eastAsia="hr-HR"/>
        </w:rPr>
        <w:t>320.414,56</w:t>
      </w:r>
      <w:r w:rsidR="00927F6A"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odnosi se na </w:t>
      </w:r>
      <w:r w:rsidRPr="00A17B6F">
        <w:rPr>
          <w:rFonts w:ascii="Arial" w:eastAsia="Times New Roman" w:hAnsi="Arial" w:cs="Times New Roman"/>
          <w:b/>
          <w:sz w:val="24"/>
          <w:szCs w:val="24"/>
          <w:lang w:eastAsia="hr-HR"/>
        </w:rPr>
        <w:t>pomoći proračunskim korisnicima drugih proračuna</w:t>
      </w:r>
      <w:r w:rsidRPr="00A17B6F">
        <w:rPr>
          <w:rFonts w:ascii="Arial" w:eastAsia="Times New Roman" w:hAnsi="Arial" w:cs="Times New Roman"/>
          <w:sz w:val="24"/>
          <w:szCs w:val="24"/>
          <w:lang w:eastAsia="hr-HR"/>
        </w:rPr>
        <w:t xml:space="preserve">, </w:t>
      </w:r>
      <w:r w:rsidRPr="00A17B6F">
        <w:rPr>
          <w:rFonts w:ascii="Arial" w:eastAsia="Times New Roman" w:hAnsi="Arial" w:cs="Times New Roman"/>
          <w:b/>
          <w:sz w:val="24"/>
          <w:szCs w:val="24"/>
          <w:lang w:eastAsia="hr-HR"/>
        </w:rPr>
        <w:t xml:space="preserve">, </w:t>
      </w:r>
      <w:r w:rsidR="00797438" w:rsidRPr="00A17B6F">
        <w:rPr>
          <w:rFonts w:ascii="Arial" w:eastAsia="Times New Roman" w:hAnsi="Arial" w:cs="Times New Roman"/>
          <w:sz w:val="24"/>
          <w:szCs w:val="24"/>
          <w:lang w:eastAsia="hr-HR"/>
        </w:rPr>
        <w:t>898.187,10</w:t>
      </w:r>
      <w:r w:rsidR="00927F6A" w:rsidRPr="00A17B6F">
        <w:rPr>
          <w:rFonts w:ascii="Arial" w:eastAsia="Times New Roman" w:hAnsi="Arial" w:cs="Times New Roman"/>
          <w:sz w:val="24"/>
          <w:szCs w:val="24"/>
          <w:lang w:eastAsia="hr-HR"/>
        </w:rPr>
        <w:t xml:space="preserve"> eura</w:t>
      </w:r>
      <w:r w:rsidR="00AD3610" w:rsidRPr="00A17B6F">
        <w:rPr>
          <w:rFonts w:ascii="Arial" w:eastAsia="Times New Roman" w:hAnsi="Arial" w:cs="Times New Roman"/>
          <w:sz w:val="24"/>
          <w:szCs w:val="24"/>
          <w:lang w:eastAsia="hr-HR"/>
        </w:rPr>
        <w:t xml:space="preserve"> </w:t>
      </w:r>
      <w:r w:rsidRPr="00A17B6F">
        <w:rPr>
          <w:rFonts w:ascii="Arial" w:eastAsia="Times New Roman" w:hAnsi="Arial" w:cs="Times New Roman"/>
          <w:sz w:val="24"/>
          <w:szCs w:val="24"/>
          <w:lang w:eastAsia="hr-HR"/>
        </w:rPr>
        <w:t>odnos</w:t>
      </w:r>
      <w:r w:rsidR="00927F6A" w:rsidRPr="00A17B6F">
        <w:rPr>
          <w:rFonts w:ascii="Arial" w:eastAsia="Times New Roman" w:hAnsi="Arial" w:cs="Times New Roman"/>
          <w:sz w:val="24"/>
          <w:szCs w:val="24"/>
          <w:lang w:eastAsia="hr-HR"/>
        </w:rPr>
        <w:t>i</w:t>
      </w:r>
      <w:r w:rsidR="00AD3610" w:rsidRPr="00A17B6F">
        <w:rPr>
          <w:rFonts w:ascii="Arial" w:eastAsia="Times New Roman" w:hAnsi="Arial" w:cs="Times New Roman"/>
          <w:sz w:val="24"/>
          <w:szCs w:val="24"/>
          <w:lang w:eastAsia="hr-HR"/>
        </w:rPr>
        <w:t xml:space="preserve"> se</w:t>
      </w:r>
      <w:r w:rsidRPr="00A17B6F">
        <w:rPr>
          <w:rFonts w:ascii="Arial" w:eastAsia="Times New Roman" w:hAnsi="Arial" w:cs="Times New Roman"/>
          <w:sz w:val="24"/>
          <w:szCs w:val="24"/>
          <w:lang w:eastAsia="hr-HR"/>
        </w:rPr>
        <w:t xml:space="preserve"> na </w:t>
      </w:r>
      <w:r w:rsidRPr="00A17B6F">
        <w:rPr>
          <w:rFonts w:ascii="Arial" w:eastAsia="Times New Roman" w:hAnsi="Arial" w:cs="Times New Roman"/>
          <w:b/>
          <w:sz w:val="24"/>
          <w:szCs w:val="24"/>
          <w:lang w:eastAsia="hr-HR"/>
        </w:rPr>
        <w:t>pomoći temeljem prijenosa EU sredstava</w:t>
      </w:r>
      <w:r w:rsidRPr="00A17B6F">
        <w:rPr>
          <w:rFonts w:ascii="Arial" w:eastAsia="Times New Roman" w:hAnsi="Arial" w:cs="Times New Roman"/>
          <w:sz w:val="24"/>
          <w:szCs w:val="24"/>
          <w:lang w:eastAsia="hr-HR"/>
        </w:rPr>
        <w:t xml:space="preserve"> </w:t>
      </w:r>
      <w:r w:rsidR="00AD3610" w:rsidRPr="00A17B6F">
        <w:rPr>
          <w:rFonts w:ascii="Arial" w:eastAsia="Times New Roman" w:hAnsi="Arial" w:cs="Times New Roman"/>
          <w:sz w:val="24"/>
          <w:szCs w:val="24"/>
          <w:lang w:eastAsia="hr-HR"/>
        </w:rPr>
        <w:t xml:space="preserve">te </w:t>
      </w:r>
      <w:r w:rsidR="00797438" w:rsidRPr="00A17B6F">
        <w:rPr>
          <w:rFonts w:ascii="Arial" w:eastAsia="Times New Roman" w:hAnsi="Arial" w:cs="Times New Roman"/>
          <w:sz w:val="24"/>
          <w:szCs w:val="24"/>
          <w:lang w:eastAsia="hr-HR"/>
        </w:rPr>
        <w:t>159.663,99</w:t>
      </w:r>
      <w:r w:rsidR="00927F6A" w:rsidRPr="00A17B6F">
        <w:rPr>
          <w:rFonts w:ascii="Arial" w:eastAsia="Times New Roman" w:hAnsi="Arial" w:cs="Times New Roman"/>
          <w:sz w:val="24"/>
          <w:szCs w:val="24"/>
          <w:lang w:eastAsia="hr-HR"/>
        </w:rPr>
        <w:t xml:space="preserve"> eura</w:t>
      </w:r>
      <w:r w:rsidR="00AD3610" w:rsidRPr="00A17B6F">
        <w:rPr>
          <w:rFonts w:ascii="Arial" w:eastAsia="Times New Roman" w:hAnsi="Arial" w:cs="Times New Roman"/>
          <w:sz w:val="24"/>
          <w:szCs w:val="24"/>
          <w:lang w:eastAsia="hr-HR"/>
        </w:rPr>
        <w:t xml:space="preserve"> koje se odnosi na </w:t>
      </w:r>
      <w:r w:rsidR="00AD3610" w:rsidRPr="00A17B6F">
        <w:rPr>
          <w:rFonts w:ascii="Arial" w:eastAsia="Times New Roman" w:hAnsi="Arial" w:cs="Times New Roman"/>
          <w:b/>
          <w:sz w:val="24"/>
          <w:szCs w:val="24"/>
          <w:lang w:eastAsia="hr-HR"/>
        </w:rPr>
        <w:t>prijenose između proračunskih korisnika istog proračuna</w:t>
      </w:r>
      <w:r w:rsidR="00F84692" w:rsidRPr="00A17B6F">
        <w:rPr>
          <w:rFonts w:ascii="Arial" w:eastAsia="Times New Roman" w:hAnsi="Arial" w:cs="Times New Roman"/>
          <w:b/>
          <w:sz w:val="24"/>
          <w:szCs w:val="24"/>
          <w:lang w:eastAsia="hr-HR"/>
        </w:rPr>
        <w:t>.</w:t>
      </w:r>
    </w:p>
    <w:p w14:paraId="78025C78" w14:textId="60BD809E" w:rsidR="00797438" w:rsidRPr="00A17B6F" w:rsidRDefault="00797438" w:rsidP="002E5D8E">
      <w:pPr>
        <w:spacing w:after="120" w:line="240" w:lineRule="auto"/>
        <w:ind w:firstLine="357"/>
        <w:jc w:val="both"/>
        <w:rPr>
          <w:rFonts w:ascii="Arial" w:eastAsia="Times New Roman" w:hAnsi="Arial" w:cs="Times New Roman"/>
          <w:b/>
          <w:sz w:val="24"/>
          <w:szCs w:val="24"/>
          <w:lang w:eastAsia="hr-HR"/>
        </w:rPr>
      </w:pPr>
      <w:r w:rsidRPr="00A17B6F">
        <w:rPr>
          <w:rFonts w:ascii="Arial" w:eastAsia="Times New Roman" w:hAnsi="Arial" w:cs="Times New Roman"/>
          <w:b/>
          <w:sz w:val="24"/>
          <w:szCs w:val="24"/>
          <w:lang w:eastAsia="hr-HR"/>
        </w:rPr>
        <w:t xml:space="preserve">Pomoći inozemnim vladama </w:t>
      </w:r>
      <w:r w:rsidR="00B93333" w:rsidRPr="00A17B6F">
        <w:rPr>
          <w:rFonts w:ascii="Arial" w:eastAsia="Times New Roman" w:hAnsi="Arial" w:cs="Times New Roman"/>
          <w:sz w:val="24"/>
          <w:szCs w:val="24"/>
          <w:lang w:eastAsia="hr-HR"/>
        </w:rPr>
        <w:t xml:space="preserve">realizirane su spomenutom iznosu od 201.651,59 eura i to u sklopu EU projekta </w:t>
      </w:r>
      <w:proofErr w:type="spellStart"/>
      <w:r w:rsidR="00B93333" w:rsidRPr="005B7734">
        <w:rPr>
          <w:rFonts w:ascii="Arial" w:eastAsia="Times New Roman" w:hAnsi="Arial" w:cs="Times New Roman"/>
          <w:i/>
          <w:sz w:val="24"/>
          <w:szCs w:val="24"/>
          <w:lang w:eastAsia="hr-HR"/>
        </w:rPr>
        <w:t>AdriProm</w:t>
      </w:r>
      <w:proofErr w:type="spellEnd"/>
      <w:r w:rsidR="00B93333" w:rsidRPr="005B7734">
        <w:rPr>
          <w:rFonts w:ascii="Arial" w:eastAsia="Times New Roman" w:hAnsi="Arial" w:cs="Times New Roman"/>
          <w:i/>
          <w:sz w:val="24"/>
          <w:szCs w:val="24"/>
          <w:lang w:eastAsia="hr-HR"/>
        </w:rPr>
        <w:t xml:space="preserve"> Tour</w:t>
      </w:r>
      <w:r w:rsidR="00B93333" w:rsidRPr="00A17B6F">
        <w:rPr>
          <w:rFonts w:ascii="Arial" w:eastAsia="Times New Roman" w:hAnsi="Arial" w:cs="Times New Roman"/>
          <w:sz w:val="24"/>
          <w:szCs w:val="24"/>
          <w:lang w:eastAsia="hr-HR"/>
        </w:rPr>
        <w:t>.</w:t>
      </w:r>
    </w:p>
    <w:p w14:paraId="7665142B" w14:textId="0E4660D4" w:rsidR="00B93333"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b/>
          <w:sz w:val="24"/>
          <w:szCs w:val="24"/>
          <w:lang w:eastAsia="hr-HR"/>
        </w:rPr>
        <w:t>Pomoći unutar općeg proračuna</w:t>
      </w:r>
      <w:r w:rsidR="00B93333" w:rsidRPr="00A17B6F">
        <w:rPr>
          <w:rFonts w:ascii="Arial" w:eastAsia="Times New Roman" w:hAnsi="Arial" w:cs="Times New Roman"/>
          <w:sz w:val="24"/>
          <w:szCs w:val="24"/>
          <w:lang w:eastAsia="hr-HR"/>
        </w:rPr>
        <w:t xml:space="preserve"> realizirane su</w:t>
      </w:r>
      <w:r w:rsidRPr="00A17B6F">
        <w:rPr>
          <w:rFonts w:ascii="Arial" w:eastAsia="Times New Roman" w:hAnsi="Arial" w:cs="Times New Roman"/>
          <w:sz w:val="24"/>
          <w:szCs w:val="24"/>
          <w:lang w:eastAsia="hr-HR"/>
        </w:rPr>
        <w:t xml:space="preserve"> iznosu od </w:t>
      </w:r>
      <w:r w:rsidR="00B93333" w:rsidRPr="00A17B6F">
        <w:rPr>
          <w:rFonts w:ascii="Arial" w:eastAsia="Times New Roman" w:hAnsi="Arial" w:cs="Times New Roman"/>
          <w:sz w:val="24"/>
          <w:szCs w:val="24"/>
          <w:lang w:eastAsia="hr-HR"/>
        </w:rPr>
        <w:t xml:space="preserve">440.548,35 </w:t>
      </w:r>
      <w:r w:rsidR="00927F6A" w:rsidRPr="00A17B6F">
        <w:rPr>
          <w:rFonts w:ascii="Arial" w:eastAsia="Times New Roman" w:hAnsi="Arial" w:cs="Times New Roman"/>
          <w:sz w:val="24"/>
          <w:szCs w:val="24"/>
          <w:lang w:eastAsia="hr-HR"/>
        </w:rPr>
        <w:t>eura, a n</w:t>
      </w:r>
      <w:r w:rsidR="00F84692" w:rsidRPr="00A17B6F">
        <w:rPr>
          <w:rFonts w:ascii="Arial" w:eastAsia="Times New Roman" w:hAnsi="Arial" w:cs="Times New Roman"/>
          <w:sz w:val="24"/>
          <w:szCs w:val="24"/>
          <w:lang w:eastAsia="hr-HR"/>
        </w:rPr>
        <w:t>ajveći dio ostvarenih rashoda za pomoći unutar općeg proračuna realiziran je u sklopu sljedećih aktivnosti / projekata:</w:t>
      </w:r>
      <w:r w:rsidR="00B93333" w:rsidRPr="00A17B6F">
        <w:t xml:space="preserve"> </w:t>
      </w:r>
      <w:r w:rsidR="00B93333" w:rsidRPr="005B7734">
        <w:rPr>
          <w:rFonts w:ascii="Arial" w:eastAsia="Times New Roman" w:hAnsi="Arial" w:cs="Times New Roman"/>
          <w:i/>
          <w:sz w:val="24"/>
          <w:szCs w:val="24"/>
          <w:lang w:eastAsia="hr-HR"/>
        </w:rPr>
        <w:t>A900210 Fond za Gorski kotar</w:t>
      </w:r>
      <w:r w:rsidR="00B93333" w:rsidRPr="00A17B6F">
        <w:rPr>
          <w:rFonts w:ascii="Arial" w:eastAsia="Times New Roman" w:hAnsi="Arial" w:cs="Times New Roman"/>
          <w:sz w:val="24"/>
          <w:szCs w:val="24"/>
          <w:lang w:eastAsia="hr-HR"/>
        </w:rPr>
        <w:t xml:space="preserve"> (190.771,80 eura), </w:t>
      </w:r>
      <w:r w:rsidR="00B93333" w:rsidRPr="00A17B6F">
        <w:rPr>
          <w:rFonts w:ascii="Arial" w:eastAsia="Times New Roman" w:hAnsi="Arial" w:cs="Times New Roman"/>
          <w:i/>
          <w:sz w:val="24"/>
          <w:szCs w:val="24"/>
          <w:lang w:eastAsia="hr-HR"/>
        </w:rPr>
        <w:t>K900212 Razvoj mreže sanjkališta u Gorskom kotaru</w:t>
      </w:r>
      <w:r w:rsidR="00B93333" w:rsidRPr="00A17B6F">
        <w:rPr>
          <w:rFonts w:ascii="Arial" w:eastAsia="Times New Roman" w:hAnsi="Arial" w:cs="Times New Roman"/>
          <w:sz w:val="24"/>
          <w:szCs w:val="24"/>
          <w:lang w:eastAsia="hr-HR"/>
        </w:rPr>
        <w:t xml:space="preserve"> (100.000,00 eura), </w:t>
      </w:r>
      <w:r w:rsidR="00B93333" w:rsidRPr="005B7734">
        <w:rPr>
          <w:rFonts w:ascii="Arial" w:eastAsia="Times New Roman" w:hAnsi="Arial" w:cs="Times New Roman"/>
          <w:i/>
          <w:sz w:val="24"/>
          <w:szCs w:val="24"/>
          <w:lang w:eastAsia="hr-HR"/>
        </w:rPr>
        <w:t>A700306 Županijski linijski javni cestovni prijevoz putnika</w:t>
      </w:r>
      <w:r w:rsidR="00B93333" w:rsidRPr="00A17B6F">
        <w:rPr>
          <w:rFonts w:ascii="Arial" w:eastAsia="Times New Roman" w:hAnsi="Arial" w:cs="Times New Roman"/>
          <w:sz w:val="24"/>
          <w:szCs w:val="24"/>
          <w:lang w:eastAsia="hr-HR"/>
        </w:rPr>
        <w:t xml:space="preserve"> (27.064,82 eura), </w:t>
      </w:r>
      <w:r w:rsidR="00B93333" w:rsidRPr="005B7734">
        <w:rPr>
          <w:rFonts w:ascii="Arial" w:eastAsia="Times New Roman" w:hAnsi="Arial" w:cs="Times New Roman"/>
          <w:i/>
          <w:sz w:val="24"/>
          <w:szCs w:val="24"/>
          <w:lang w:eastAsia="hr-HR"/>
        </w:rPr>
        <w:t>A900302 Sufinanciranje programa ravnomjernog razvitka</w:t>
      </w:r>
      <w:r w:rsidR="00B93333" w:rsidRPr="00A17B6F">
        <w:rPr>
          <w:rFonts w:ascii="Arial" w:eastAsia="Times New Roman" w:hAnsi="Arial" w:cs="Times New Roman"/>
          <w:sz w:val="24"/>
          <w:szCs w:val="24"/>
          <w:lang w:eastAsia="hr-HR"/>
        </w:rPr>
        <w:t xml:space="preserve"> (20.000,00 eura), </w:t>
      </w:r>
      <w:r w:rsidR="00B93333" w:rsidRPr="005B7734">
        <w:rPr>
          <w:rFonts w:ascii="Arial" w:eastAsia="Times New Roman" w:hAnsi="Arial" w:cs="Times New Roman"/>
          <w:i/>
          <w:sz w:val="24"/>
          <w:szCs w:val="24"/>
          <w:lang w:eastAsia="hr-HR"/>
        </w:rPr>
        <w:t>K700312 Javne i nerazvrstane ceste na području Županije</w:t>
      </w:r>
      <w:r w:rsidR="00B93333" w:rsidRPr="00A17B6F">
        <w:rPr>
          <w:rFonts w:ascii="Arial" w:eastAsia="Times New Roman" w:hAnsi="Arial" w:cs="Times New Roman"/>
          <w:sz w:val="24"/>
          <w:szCs w:val="24"/>
          <w:lang w:eastAsia="hr-HR"/>
        </w:rPr>
        <w:t xml:space="preserve"> (</w:t>
      </w:r>
      <w:r w:rsidR="00D64ECF" w:rsidRPr="00A17B6F">
        <w:rPr>
          <w:rFonts w:ascii="Arial" w:eastAsia="Times New Roman" w:hAnsi="Arial" w:cs="Times New Roman"/>
          <w:sz w:val="24"/>
          <w:szCs w:val="24"/>
          <w:lang w:eastAsia="hr-HR"/>
        </w:rPr>
        <w:t xml:space="preserve">16.504,71 euro), </w:t>
      </w:r>
      <w:r w:rsidR="00D64ECF" w:rsidRPr="005B7734">
        <w:rPr>
          <w:rFonts w:ascii="Arial" w:eastAsia="Times New Roman" w:hAnsi="Arial" w:cs="Times New Roman"/>
          <w:i/>
          <w:sz w:val="24"/>
          <w:szCs w:val="24"/>
          <w:lang w:eastAsia="hr-HR"/>
        </w:rPr>
        <w:t>A110401 Suradnja s jedinicama lokalne i područne samouprave</w:t>
      </w:r>
      <w:r w:rsidR="00D64ECF" w:rsidRPr="00A17B6F">
        <w:rPr>
          <w:rFonts w:ascii="Arial" w:eastAsia="Times New Roman" w:hAnsi="Arial" w:cs="Times New Roman"/>
          <w:sz w:val="24"/>
          <w:szCs w:val="24"/>
          <w:lang w:eastAsia="hr-HR"/>
        </w:rPr>
        <w:t xml:space="preserve"> (16.000,00 euro) te </w:t>
      </w:r>
      <w:r w:rsidR="00D64ECF" w:rsidRPr="005B7734">
        <w:rPr>
          <w:rFonts w:ascii="Arial" w:eastAsia="Times New Roman" w:hAnsi="Arial" w:cs="Times New Roman"/>
          <w:i/>
          <w:sz w:val="24"/>
          <w:szCs w:val="24"/>
          <w:lang w:eastAsia="hr-HR"/>
        </w:rPr>
        <w:t>T530102 Investicijsko održavanje objekata i opreme</w:t>
      </w:r>
      <w:r w:rsidR="00D64ECF" w:rsidRPr="00A17B6F">
        <w:rPr>
          <w:rFonts w:ascii="Arial" w:eastAsia="Times New Roman" w:hAnsi="Arial" w:cs="Times New Roman"/>
          <w:sz w:val="24"/>
          <w:szCs w:val="24"/>
          <w:lang w:eastAsia="hr-HR"/>
        </w:rPr>
        <w:t xml:space="preserve"> (16.000,00 eura).</w:t>
      </w:r>
    </w:p>
    <w:p w14:paraId="47646D61" w14:textId="1C285BEE" w:rsidR="00D64ECF"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 xml:space="preserve">Od ukupnog iznosa </w:t>
      </w:r>
      <w:r w:rsidRPr="00A17B6F">
        <w:rPr>
          <w:rFonts w:ascii="Arial" w:eastAsia="Times New Roman" w:hAnsi="Arial" w:cs="Times New Roman"/>
          <w:b/>
          <w:sz w:val="24"/>
          <w:szCs w:val="24"/>
          <w:lang w:eastAsia="hr-HR"/>
        </w:rPr>
        <w:t>pomoći isplaćenih proračunskim korisnicima drugih proračuna</w:t>
      </w:r>
      <w:r w:rsidRPr="00A17B6F">
        <w:rPr>
          <w:rFonts w:ascii="Arial" w:eastAsia="Times New Roman" w:hAnsi="Arial" w:cs="Times New Roman"/>
          <w:sz w:val="24"/>
          <w:szCs w:val="24"/>
          <w:lang w:eastAsia="hr-HR"/>
        </w:rPr>
        <w:t xml:space="preserve"> </w:t>
      </w:r>
      <w:r w:rsidR="00A43A9F" w:rsidRPr="00A17B6F">
        <w:rPr>
          <w:rFonts w:ascii="Arial" w:eastAsia="Times New Roman" w:hAnsi="Arial" w:cs="Times New Roman"/>
          <w:sz w:val="24"/>
          <w:szCs w:val="24"/>
          <w:lang w:eastAsia="hr-HR"/>
        </w:rPr>
        <w:t>(</w:t>
      </w:r>
      <w:r w:rsidR="005B7734">
        <w:rPr>
          <w:rFonts w:ascii="Arial" w:eastAsia="Times New Roman" w:hAnsi="Arial" w:cs="Times New Roman"/>
          <w:sz w:val="24"/>
          <w:szCs w:val="24"/>
          <w:lang w:eastAsia="hr-HR"/>
        </w:rPr>
        <w:t>320.414,56</w:t>
      </w:r>
      <w:r w:rsidR="007B50AF" w:rsidRPr="00A17B6F">
        <w:rPr>
          <w:rFonts w:ascii="Arial" w:eastAsia="Times New Roman" w:hAnsi="Arial" w:cs="Times New Roman"/>
          <w:sz w:val="24"/>
          <w:szCs w:val="24"/>
          <w:lang w:eastAsia="hr-HR"/>
        </w:rPr>
        <w:t xml:space="preserve"> eura</w:t>
      </w:r>
      <w:r w:rsidR="00A43A9F" w:rsidRPr="00A17B6F">
        <w:rPr>
          <w:rFonts w:ascii="Arial" w:eastAsia="Times New Roman" w:hAnsi="Arial" w:cs="Times New Roman"/>
          <w:sz w:val="24"/>
          <w:szCs w:val="24"/>
          <w:lang w:eastAsia="hr-HR"/>
        </w:rPr>
        <w:t xml:space="preserve">) </w:t>
      </w:r>
      <w:r w:rsidRPr="00A17B6F">
        <w:rPr>
          <w:rFonts w:ascii="Arial" w:eastAsia="Times New Roman" w:hAnsi="Arial" w:cs="Times New Roman"/>
          <w:sz w:val="24"/>
          <w:szCs w:val="24"/>
          <w:lang w:eastAsia="hr-HR"/>
        </w:rPr>
        <w:t>najveći dio se odnosi na sredstva isplaćena</w:t>
      </w:r>
      <w:r w:rsidR="007B50AF" w:rsidRPr="00A17B6F">
        <w:rPr>
          <w:rFonts w:ascii="Arial" w:eastAsia="Times New Roman" w:hAnsi="Arial" w:cs="Times New Roman"/>
          <w:sz w:val="24"/>
          <w:szCs w:val="24"/>
          <w:lang w:eastAsia="hr-HR"/>
        </w:rPr>
        <w:t xml:space="preserve"> u sklopu sljedećih aktivnosti i projekata</w:t>
      </w:r>
      <w:r w:rsidRPr="00A17B6F">
        <w:rPr>
          <w:rFonts w:ascii="Arial" w:eastAsia="Times New Roman" w:hAnsi="Arial" w:cs="Times New Roman"/>
          <w:sz w:val="24"/>
          <w:szCs w:val="24"/>
          <w:lang w:eastAsia="hr-HR"/>
        </w:rPr>
        <w:t xml:space="preserve">: </w:t>
      </w:r>
      <w:r w:rsidR="00D64ECF" w:rsidRPr="00A17B6F">
        <w:rPr>
          <w:rFonts w:ascii="Arial" w:eastAsia="Times New Roman" w:hAnsi="Arial" w:cs="Times New Roman"/>
          <w:i/>
          <w:sz w:val="24"/>
          <w:szCs w:val="24"/>
          <w:lang w:eastAsia="hr-HR"/>
        </w:rPr>
        <w:t>T550215 RCK RECEPT - Regionalni centar profesija u turizmu</w:t>
      </w:r>
      <w:r w:rsidR="00D64ECF" w:rsidRPr="00A17B6F">
        <w:rPr>
          <w:rFonts w:ascii="Arial" w:eastAsia="Times New Roman" w:hAnsi="Arial" w:cs="Times New Roman"/>
          <w:sz w:val="24"/>
          <w:szCs w:val="24"/>
          <w:lang w:eastAsia="hr-HR"/>
        </w:rPr>
        <w:t xml:space="preserve"> (117.672,58 eura), </w:t>
      </w:r>
      <w:r w:rsidR="00D64ECF" w:rsidRPr="00A17B6F">
        <w:rPr>
          <w:rFonts w:ascii="Arial" w:eastAsia="Times New Roman" w:hAnsi="Arial" w:cs="Times New Roman"/>
          <w:i/>
          <w:sz w:val="24"/>
          <w:szCs w:val="24"/>
          <w:lang w:eastAsia="hr-HR"/>
        </w:rPr>
        <w:t>T510418 (Za)voli kazalište - HNK Ivana pl. Zajca Rijeka</w:t>
      </w:r>
      <w:r w:rsidR="00D64ECF" w:rsidRPr="00A17B6F">
        <w:rPr>
          <w:rFonts w:ascii="Arial" w:eastAsia="Times New Roman" w:hAnsi="Arial" w:cs="Times New Roman"/>
          <w:sz w:val="24"/>
          <w:szCs w:val="24"/>
          <w:lang w:eastAsia="hr-HR"/>
        </w:rPr>
        <w:t xml:space="preserve"> (47.000,00 eura), </w:t>
      </w:r>
      <w:r w:rsidR="00D64ECF" w:rsidRPr="00A17B6F">
        <w:rPr>
          <w:rFonts w:ascii="Arial" w:eastAsia="Times New Roman" w:hAnsi="Arial" w:cs="Times New Roman"/>
          <w:i/>
          <w:sz w:val="24"/>
          <w:szCs w:val="24"/>
          <w:lang w:eastAsia="hr-HR"/>
        </w:rPr>
        <w:t>A510435 Program javnih potreba u kulturi</w:t>
      </w:r>
      <w:r w:rsidR="00D64ECF" w:rsidRPr="00A17B6F">
        <w:rPr>
          <w:rFonts w:ascii="Arial" w:eastAsia="Times New Roman" w:hAnsi="Arial" w:cs="Times New Roman"/>
          <w:sz w:val="24"/>
          <w:szCs w:val="24"/>
          <w:lang w:eastAsia="hr-HR"/>
        </w:rPr>
        <w:t xml:space="preserve"> (41.200,00 eura), A</w:t>
      </w:r>
      <w:r w:rsidR="00D64ECF" w:rsidRPr="00A17B6F">
        <w:rPr>
          <w:rFonts w:ascii="Arial" w:eastAsia="Times New Roman" w:hAnsi="Arial" w:cs="Times New Roman"/>
          <w:i/>
          <w:sz w:val="24"/>
          <w:szCs w:val="24"/>
          <w:lang w:eastAsia="hr-HR"/>
        </w:rPr>
        <w:t>510403 Županijski bibliobus - Gradska knjižnica Rijeka</w:t>
      </w:r>
      <w:r w:rsidR="00D64ECF" w:rsidRPr="00A17B6F">
        <w:rPr>
          <w:rFonts w:ascii="Arial" w:eastAsia="Times New Roman" w:hAnsi="Arial" w:cs="Times New Roman"/>
          <w:sz w:val="24"/>
          <w:szCs w:val="24"/>
          <w:lang w:eastAsia="hr-HR"/>
        </w:rPr>
        <w:t xml:space="preserve"> (35.000,00 eura) te </w:t>
      </w:r>
      <w:r w:rsidR="00D64ECF" w:rsidRPr="005B7734">
        <w:rPr>
          <w:rFonts w:ascii="Arial" w:eastAsia="Times New Roman" w:hAnsi="Arial" w:cs="Times New Roman"/>
          <w:i/>
          <w:sz w:val="24"/>
          <w:szCs w:val="24"/>
          <w:lang w:eastAsia="hr-HR"/>
        </w:rPr>
        <w:t>K510327 Sufinanciranje nabave opreme za potrebe Fakulteta zdravstvenih studija Sveučilišta u Rijeci</w:t>
      </w:r>
      <w:r w:rsidR="00D64ECF" w:rsidRPr="00A17B6F">
        <w:rPr>
          <w:rFonts w:ascii="Arial" w:eastAsia="Times New Roman" w:hAnsi="Arial" w:cs="Times New Roman"/>
          <w:sz w:val="24"/>
          <w:szCs w:val="24"/>
          <w:lang w:eastAsia="hr-HR"/>
        </w:rPr>
        <w:t xml:space="preserve"> (21.048,61 euro).</w:t>
      </w:r>
    </w:p>
    <w:p w14:paraId="463406C5" w14:textId="44309D2C" w:rsidR="002E5D8E"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b/>
          <w:sz w:val="24"/>
          <w:szCs w:val="24"/>
          <w:lang w:eastAsia="hr-HR"/>
        </w:rPr>
        <w:t>Pomoći temeljem prijenosa EU sredstava</w:t>
      </w:r>
      <w:r w:rsidRPr="00A17B6F">
        <w:rPr>
          <w:rFonts w:ascii="Arial" w:eastAsia="Times New Roman" w:hAnsi="Arial" w:cs="Times New Roman"/>
          <w:sz w:val="24"/>
          <w:szCs w:val="24"/>
          <w:lang w:eastAsia="hr-HR"/>
        </w:rPr>
        <w:t xml:space="preserve"> realizirane su u ukupnom iznosu od </w:t>
      </w:r>
      <w:r w:rsidR="00D64ECF" w:rsidRPr="00A17B6F">
        <w:rPr>
          <w:rFonts w:ascii="Arial" w:eastAsia="Times New Roman" w:hAnsi="Arial" w:cs="Times New Roman"/>
          <w:sz w:val="24"/>
          <w:szCs w:val="24"/>
          <w:lang w:eastAsia="hr-HR"/>
        </w:rPr>
        <w:t>898.187,10</w:t>
      </w:r>
      <w:r w:rsidR="001F6589"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i to u sklopu EU projekata: </w:t>
      </w:r>
      <w:r w:rsidR="00970CFF" w:rsidRPr="00A17B6F">
        <w:rPr>
          <w:rFonts w:ascii="Arial" w:eastAsia="Times New Roman" w:hAnsi="Arial" w:cs="Times New Roman"/>
          <w:i/>
          <w:sz w:val="24"/>
          <w:szCs w:val="24"/>
          <w:lang w:eastAsia="hr-HR"/>
        </w:rPr>
        <w:t>K550214 MREŽA KOM5ENTNOSTI</w:t>
      </w:r>
      <w:r w:rsidR="00970CFF" w:rsidRPr="00A17B6F">
        <w:rPr>
          <w:rFonts w:ascii="Arial" w:eastAsia="Times New Roman" w:hAnsi="Arial" w:cs="Times New Roman"/>
          <w:sz w:val="24"/>
          <w:szCs w:val="24"/>
          <w:lang w:eastAsia="hr-HR"/>
        </w:rPr>
        <w:t xml:space="preserve"> (</w:t>
      </w:r>
      <w:r w:rsidR="00D64ECF" w:rsidRPr="00A17B6F">
        <w:rPr>
          <w:rFonts w:ascii="Arial" w:eastAsia="Times New Roman" w:hAnsi="Arial" w:cs="Times New Roman"/>
          <w:sz w:val="24"/>
          <w:szCs w:val="24"/>
          <w:lang w:eastAsia="hr-HR"/>
        </w:rPr>
        <w:t>101.062,32</w:t>
      </w:r>
      <w:r w:rsidR="001F6589" w:rsidRPr="00A17B6F">
        <w:rPr>
          <w:rFonts w:ascii="Arial" w:eastAsia="Times New Roman" w:hAnsi="Arial" w:cs="Times New Roman"/>
          <w:sz w:val="24"/>
          <w:szCs w:val="24"/>
          <w:lang w:eastAsia="hr-HR"/>
        </w:rPr>
        <w:t xml:space="preserve"> eura</w:t>
      </w:r>
      <w:r w:rsidR="00970CFF" w:rsidRPr="00A17B6F">
        <w:rPr>
          <w:rFonts w:ascii="Arial" w:eastAsia="Times New Roman" w:hAnsi="Arial" w:cs="Times New Roman"/>
          <w:sz w:val="24"/>
          <w:szCs w:val="24"/>
          <w:lang w:eastAsia="hr-HR"/>
        </w:rPr>
        <w:t>)</w:t>
      </w:r>
      <w:r w:rsidR="00D64ECF" w:rsidRPr="00A17B6F">
        <w:rPr>
          <w:rFonts w:ascii="Arial" w:eastAsia="Times New Roman" w:hAnsi="Arial" w:cs="Times New Roman"/>
          <w:sz w:val="24"/>
          <w:szCs w:val="24"/>
          <w:lang w:eastAsia="hr-HR"/>
        </w:rPr>
        <w:t xml:space="preserve">, </w:t>
      </w:r>
      <w:r w:rsidR="0069096D" w:rsidRPr="00A17B6F">
        <w:rPr>
          <w:rFonts w:ascii="Arial" w:eastAsia="Times New Roman" w:hAnsi="Arial" w:cs="Times New Roman"/>
          <w:i/>
          <w:sz w:val="24"/>
          <w:szCs w:val="24"/>
          <w:lang w:eastAsia="hr-HR"/>
        </w:rPr>
        <w:t>T</w:t>
      </w:r>
      <w:r w:rsidRPr="00A17B6F">
        <w:rPr>
          <w:rFonts w:ascii="Arial" w:eastAsia="Times New Roman" w:hAnsi="Arial" w:cs="Times New Roman"/>
          <w:i/>
          <w:sz w:val="24"/>
          <w:szCs w:val="24"/>
          <w:lang w:eastAsia="hr-HR"/>
        </w:rPr>
        <w:t>550215 RCK RECEPT – Regionalni centar profesija u turizmu</w:t>
      </w:r>
      <w:r w:rsidRPr="00A17B6F">
        <w:rPr>
          <w:rFonts w:ascii="Arial" w:eastAsia="Times New Roman" w:hAnsi="Arial" w:cs="Times New Roman"/>
          <w:sz w:val="24"/>
          <w:szCs w:val="24"/>
          <w:lang w:eastAsia="hr-HR"/>
        </w:rPr>
        <w:t xml:space="preserve"> (</w:t>
      </w:r>
      <w:r w:rsidR="00D64ECF" w:rsidRPr="00A17B6F">
        <w:rPr>
          <w:rFonts w:ascii="Arial" w:eastAsia="Times New Roman" w:hAnsi="Arial" w:cs="Times New Roman"/>
          <w:sz w:val="24"/>
          <w:szCs w:val="24"/>
          <w:lang w:eastAsia="hr-HR"/>
        </w:rPr>
        <w:t>666.811,30</w:t>
      </w:r>
      <w:r w:rsidR="001F6589" w:rsidRPr="00A17B6F">
        <w:rPr>
          <w:rFonts w:ascii="Arial" w:eastAsia="Times New Roman" w:hAnsi="Arial" w:cs="Times New Roman"/>
          <w:sz w:val="24"/>
          <w:szCs w:val="24"/>
          <w:lang w:eastAsia="hr-HR"/>
        </w:rPr>
        <w:t xml:space="preserve"> eura)</w:t>
      </w:r>
      <w:r w:rsidR="00D64ECF" w:rsidRPr="00A17B6F">
        <w:rPr>
          <w:rFonts w:ascii="Arial" w:eastAsia="Times New Roman" w:hAnsi="Arial" w:cs="Times New Roman"/>
          <w:sz w:val="24"/>
          <w:szCs w:val="24"/>
          <w:lang w:eastAsia="hr-HR"/>
        </w:rPr>
        <w:t xml:space="preserve"> te </w:t>
      </w:r>
      <w:r w:rsidR="00D64ECF" w:rsidRPr="005B7734">
        <w:rPr>
          <w:rFonts w:ascii="Arial" w:eastAsia="Times New Roman" w:hAnsi="Arial" w:cs="Times New Roman"/>
          <w:i/>
          <w:sz w:val="24"/>
          <w:szCs w:val="24"/>
          <w:lang w:eastAsia="hr-HR"/>
        </w:rPr>
        <w:t xml:space="preserve">T800729 Projekt </w:t>
      </w:r>
      <w:proofErr w:type="spellStart"/>
      <w:r w:rsidR="00D64ECF" w:rsidRPr="005B7734">
        <w:rPr>
          <w:rFonts w:ascii="Arial" w:eastAsia="Times New Roman" w:hAnsi="Arial" w:cs="Times New Roman"/>
          <w:i/>
          <w:sz w:val="24"/>
          <w:szCs w:val="24"/>
          <w:lang w:eastAsia="hr-HR"/>
        </w:rPr>
        <w:t>AdriProm</w:t>
      </w:r>
      <w:proofErr w:type="spellEnd"/>
      <w:r w:rsidR="00D64ECF" w:rsidRPr="005B7734">
        <w:rPr>
          <w:rFonts w:ascii="Arial" w:eastAsia="Times New Roman" w:hAnsi="Arial" w:cs="Times New Roman"/>
          <w:i/>
          <w:sz w:val="24"/>
          <w:szCs w:val="24"/>
          <w:lang w:eastAsia="hr-HR"/>
        </w:rPr>
        <w:t xml:space="preserve"> Tour</w:t>
      </w:r>
      <w:r w:rsidR="00D64ECF" w:rsidRPr="00A17B6F">
        <w:rPr>
          <w:rFonts w:ascii="Arial" w:eastAsia="Times New Roman" w:hAnsi="Arial" w:cs="Times New Roman"/>
          <w:sz w:val="24"/>
          <w:szCs w:val="24"/>
          <w:lang w:eastAsia="hr-HR"/>
        </w:rPr>
        <w:t xml:space="preserve"> (130.313,48 eura).</w:t>
      </w:r>
      <w:r w:rsidR="001F6589" w:rsidRPr="00A17B6F">
        <w:rPr>
          <w:rFonts w:ascii="Arial" w:eastAsia="Times New Roman" w:hAnsi="Arial" w:cs="Times New Roman"/>
          <w:sz w:val="24"/>
          <w:szCs w:val="24"/>
          <w:lang w:eastAsia="hr-HR"/>
        </w:rPr>
        <w:t xml:space="preserve"> </w:t>
      </w:r>
    </w:p>
    <w:p w14:paraId="1B03F029" w14:textId="18BDF65F" w:rsidR="00ED0B74"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b/>
          <w:sz w:val="24"/>
          <w:szCs w:val="24"/>
          <w:lang w:eastAsia="hr-HR"/>
        </w:rPr>
        <w:t xml:space="preserve">Prijenosi između proračunskih korisnika istog proračuna </w:t>
      </w:r>
      <w:r w:rsidRPr="00A17B6F">
        <w:rPr>
          <w:rFonts w:ascii="Arial" w:eastAsia="Times New Roman" w:hAnsi="Arial" w:cs="Times New Roman"/>
          <w:sz w:val="24"/>
          <w:szCs w:val="24"/>
          <w:lang w:eastAsia="hr-HR"/>
        </w:rPr>
        <w:t>u prvom polugodištu 202</w:t>
      </w:r>
      <w:r w:rsidR="00D64ECF" w:rsidRPr="00A17B6F">
        <w:rPr>
          <w:rFonts w:ascii="Arial" w:eastAsia="Times New Roman" w:hAnsi="Arial" w:cs="Times New Roman"/>
          <w:sz w:val="24"/>
          <w:szCs w:val="24"/>
          <w:lang w:eastAsia="hr-HR"/>
        </w:rPr>
        <w:t>4</w:t>
      </w:r>
      <w:r w:rsidRPr="00A17B6F">
        <w:rPr>
          <w:rFonts w:ascii="Arial" w:eastAsia="Times New Roman" w:hAnsi="Arial" w:cs="Times New Roman"/>
          <w:sz w:val="24"/>
          <w:szCs w:val="24"/>
          <w:lang w:eastAsia="hr-HR"/>
        </w:rPr>
        <w:t xml:space="preserve">. godine realizirani su </w:t>
      </w:r>
      <w:r w:rsidR="00970CFF" w:rsidRPr="00A17B6F">
        <w:rPr>
          <w:rFonts w:ascii="Arial" w:eastAsia="Times New Roman" w:hAnsi="Arial" w:cs="Times New Roman"/>
          <w:sz w:val="24"/>
          <w:szCs w:val="24"/>
          <w:lang w:eastAsia="hr-HR"/>
        </w:rPr>
        <w:t xml:space="preserve">u ukupnom iznosu od </w:t>
      </w:r>
      <w:r w:rsidR="00F349AB">
        <w:rPr>
          <w:rFonts w:ascii="Arial" w:eastAsia="Times New Roman" w:hAnsi="Arial" w:cs="Times New Roman"/>
          <w:sz w:val="24"/>
          <w:szCs w:val="24"/>
          <w:lang w:eastAsia="hr-HR"/>
        </w:rPr>
        <w:t>159.663,99</w:t>
      </w:r>
      <w:r w:rsidR="001F6589" w:rsidRPr="00A17B6F">
        <w:rPr>
          <w:rFonts w:ascii="Arial" w:eastAsia="Times New Roman" w:hAnsi="Arial" w:cs="Times New Roman"/>
          <w:sz w:val="24"/>
          <w:szCs w:val="24"/>
          <w:lang w:eastAsia="hr-HR"/>
        </w:rPr>
        <w:t xml:space="preserve"> eura</w:t>
      </w:r>
      <w:r w:rsidR="00970CFF" w:rsidRPr="00A17B6F">
        <w:rPr>
          <w:rFonts w:ascii="Arial" w:eastAsia="Times New Roman" w:hAnsi="Arial" w:cs="Times New Roman"/>
          <w:sz w:val="24"/>
          <w:szCs w:val="24"/>
          <w:lang w:eastAsia="hr-HR"/>
        </w:rPr>
        <w:t xml:space="preserve"> </w:t>
      </w:r>
      <w:r w:rsidR="00ED0B74" w:rsidRPr="00A17B6F">
        <w:rPr>
          <w:rFonts w:ascii="Arial" w:eastAsia="Times New Roman" w:hAnsi="Arial" w:cs="Times New Roman"/>
          <w:sz w:val="24"/>
          <w:szCs w:val="24"/>
          <w:lang w:eastAsia="hr-HR"/>
        </w:rPr>
        <w:t xml:space="preserve">u sklopu </w:t>
      </w:r>
      <w:r w:rsidR="001F6589" w:rsidRPr="00A17B6F">
        <w:rPr>
          <w:rFonts w:ascii="Arial" w:eastAsia="Times New Roman" w:hAnsi="Arial" w:cs="Times New Roman"/>
          <w:sz w:val="24"/>
          <w:szCs w:val="24"/>
          <w:lang w:eastAsia="hr-HR"/>
        </w:rPr>
        <w:t xml:space="preserve">sljedećih </w:t>
      </w:r>
      <w:r w:rsidR="00ED0B74" w:rsidRPr="00A17B6F">
        <w:rPr>
          <w:rFonts w:ascii="Arial" w:eastAsia="Times New Roman" w:hAnsi="Arial" w:cs="Times New Roman"/>
          <w:sz w:val="24"/>
          <w:szCs w:val="24"/>
          <w:lang w:eastAsia="hr-HR"/>
        </w:rPr>
        <w:t>projek</w:t>
      </w:r>
      <w:r w:rsidR="001F6589" w:rsidRPr="00A17B6F">
        <w:rPr>
          <w:rFonts w:ascii="Arial" w:eastAsia="Times New Roman" w:hAnsi="Arial" w:cs="Times New Roman"/>
          <w:sz w:val="24"/>
          <w:szCs w:val="24"/>
          <w:lang w:eastAsia="hr-HR"/>
        </w:rPr>
        <w:t>a</w:t>
      </w:r>
      <w:r w:rsidR="00ED0B74" w:rsidRPr="00A17B6F">
        <w:rPr>
          <w:rFonts w:ascii="Arial" w:eastAsia="Times New Roman" w:hAnsi="Arial" w:cs="Times New Roman"/>
          <w:sz w:val="24"/>
          <w:szCs w:val="24"/>
          <w:lang w:eastAsia="hr-HR"/>
        </w:rPr>
        <w:t>ta</w:t>
      </w:r>
      <w:r w:rsidR="001F6589" w:rsidRPr="00A17B6F">
        <w:rPr>
          <w:rFonts w:ascii="Arial" w:eastAsia="Times New Roman" w:hAnsi="Arial" w:cs="Times New Roman"/>
          <w:sz w:val="24"/>
          <w:szCs w:val="24"/>
          <w:lang w:eastAsia="hr-HR"/>
        </w:rPr>
        <w:t>:</w:t>
      </w:r>
      <w:r w:rsidR="00ED0B74" w:rsidRPr="00A17B6F">
        <w:rPr>
          <w:rFonts w:ascii="Arial" w:eastAsia="Times New Roman" w:hAnsi="Arial" w:cs="Times New Roman"/>
          <w:sz w:val="24"/>
          <w:szCs w:val="24"/>
          <w:lang w:eastAsia="hr-HR"/>
        </w:rPr>
        <w:t xml:space="preserve"> </w:t>
      </w:r>
      <w:r w:rsidR="00ED0B74" w:rsidRPr="00A17B6F">
        <w:rPr>
          <w:rFonts w:ascii="Arial" w:eastAsia="Times New Roman" w:hAnsi="Arial" w:cs="Times New Roman"/>
          <w:i/>
          <w:sz w:val="24"/>
          <w:szCs w:val="24"/>
          <w:lang w:eastAsia="hr-HR"/>
        </w:rPr>
        <w:t>K550215 RCK RECEPT - Regionalni centar profesija u turizmu - EU projekt</w:t>
      </w:r>
      <w:r w:rsidR="00ED0B74" w:rsidRPr="00A17B6F">
        <w:rPr>
          <w:rFonts w:ascii="Arial" w:eastAsia="Times New Roman" w:hAnsi="Arial" w:cs="Times New Roman"/>
          <w:sz w:val="24"/>
          <w:szCs w:val="24"/>
          <w:lang w:eastAsia="hr-HR"/>
        </w:rPr>
        <w:t xml:space="preserve"> (</w:t>
      </w:r>
      <w:r w:rsidR="00FC688A" w:rsidRPr="00A17B6F">
        <w:rPr>
          <w:rFonts w:ascii="Arial" w:eastAsia="Times New Roman" w:hAnsi="Arial" w:cs="Times New Roman"/>
          <w:sz w:val="24"/>
          <w:szCs w:val="24"/>
          <w:lang w:eastAsia="hr-HR"/>
        </w:rPr>
        <w:t>150.772,39 eura) i</w:t>
      </w:r>
      <w:r w:rsidR="001F6589" w:rsidRPr="00A17B6F">
        <w:rPr>
          <w:rFonts w:ascii="Arial" w:eastAsia="Times New Roman" w:hAnsi="Arial" w:cs="Times New Roman"/>
          <w:sz w:val="24"/>
          <w:szCs w:val="24"/>
          <w:lang w:eastAsia="hr-HR"/>
        </w:rPr>
        <w:t xml:space="preserve"> </w:t>
      </w:r>
      <w:r w:rsidR="001F6589" w:rsidRPr="00A17B6F">
        <w:rPr>
          <w:rFonts w:ascii="Arial" w:eastAsia="Times New Roman" w:hAnsi="Arial" w:cs="Times New Roman"/>
          <w:i/>
          <w:sz w:val="24"/>
          <w:szCs w:val="24"/>
          <w:lang w:eastAsia="hr-HR"/>
        </w:rPr>
        <w:t>K550214 MREŽA KOM5ENTNOSTI</w:t>
      </w:r>
      <w:r w:rsidR="001F6589" w:rsidRPr="00A17B6F">
        <w:rPr>
          <w:rFonts w:ascii="Arial" w:eastAsia="Times New Roman" w:hAnsi="Arial" w:cs="Times New Roman"/>
          <w:sz w:val="24"/>
          <w:szCs w:val="24"/>
          <w:lang w:eastAsia="hr-HR"/>
        </w:rPr>
        <w:t xml:space="preserve"> (</w:t>
      </w:r>
      <w:r w:rsidR="00FC688A" w:rsidRPr="00A17B6F">
        <w:rPr>
          <w:rFonts w:ascii="Arial" w:eastAsia="Times New Roman" w:hAnsi="Arial" w:cs="Times New Roman"/>
          <w:sz w:val="24"/>
          <w:szCs w:val="24"/>
          <w:lang w:eastAsia="hr-HR"/>
        </w:rPr>
        <w:t>8.891,60</w:t>
      </w:r>
      <w:r w:rsidR="001F6589" w:rsidRPr="00A17B6F">
        <w:rPr>
          <w:rFonts w:ascii="Arial" w:eastAsia="Times New Roman" w:hAnsi="Arial" w:cs="Times New Roman"/>
          <w:sz w:val="24"/>
          <w:szCs w:val="24"/>
          <w:lang w:eastAsia="hr-HR"/>
        </w:rPr>
        <w:t xml:space="preserve"> eura)</w:t>
      </w:r>
      <w:r w:rsidR="00FC688A" w:rsidRPr="00A17B6F">
        <w:rPr>
          <w:rFonts w:ascii="Arial" w:eastAsia="Times New Roman" w:hAnsi="Arial" w:cs="Times New Roman"/>
          <w:sz w:val="24"/>
          <w:szCs w:val="24"/>
          <w:lang w:eastAsia="hr-HR"/>
        </w:rPr>
        <w:t xml:space="preserve">. </w:t>
      </w:r>
    </w:p>
    <w:p w14:paraId="467CADF6" w14:textId="2ED163F1" w:rsidR="002E5D8E" w:rsidRPr="00A17B6F" w:rsidRDefault="002E5D8E" w:rsidP="002E5D8E">
      <w:pPr>
        <w:spacing w:after="120" w:line="240" w:lineRule="auto"/>
        <w:ind w:firstLine="357"/>
        <w:jc w:val="both"/>
        <w:rPr>
          <w:rFonts w:ascii="Arial" w:eastAsia="Times New Roman" w:hAnsi="Arial" w:cs="Times New Roman"/>
          <w:b/>
          <w:color w:val="FF0000"/>
          <w:sz w:val="24"/>
          <w:szCs w:val="24"/>
          <w:lang w:eastAsia="hr-HR"/>
        </w:rPr>
      </w:pPr>
      <w:r w:rsidRPr="00A17B6F">
        <w:rPr>
          <w:rFonts w:ascii="Arial" w:eastAsia="Times New Roman" w:hAnsi="Arial" w:cs="Times New Roman"/>
          <w:b/>
          <w:sz w:val="24"/>
          <w:szCs w:val="24"/>
          <w:lang w:eastAsia="hr-HR"/>
        </w:rPr>
        <w:t xml:space="preserve">Rashodi za naknade građanima i kućanstvima </w:t>
      </w:r>
      <w:r w:rsidRPr="00A17B6F">
        <w:rPr>
          <w:rFonts w:ascii="Arial" w:eastAsia="Times New Roman" w:hAnsi="Arial" w:cs="Times New Roman"/>
          <w:sz w:val="24"/>
          <w:szCs w:val="24"/>
          <w:lang w:eastAsia="hr-HR"/>
        </w:rPr>
        <w:t xml:space="preserve">izvršeni su u prvom polugodištu </w:t>
      </w:r>
      <w:r w:rsidR="00015A65" w:rsidRPr="00A17B6F">
        <w:rPr>
          <w:rFonts w:ascii="Arial" w:eastAsia="Times New Roman" w:hAnsi="Arial" w:cs="Times New Roman"/>
          <w:sz w:val="24"/>
          <w:szCs w:val="24"/>
          <w:lang w:eastAsia="hr-HR"/>
        </w:rPr>
        <w:t xml:space="preserve">tekuće godine </w:t>
      </w:r>
      <w:r w:rsidRPr="00A17B6F">
        <w:rPr>
          <w:rFonts w:ascii="Arial" w:eastAsia="Times New Roman" w:hAnsi="Arial" w:cs="Times New Roman"/>
          <w:sz w:val="24"/>
          <w:szCs w:val="24"/>
          <w:lang w:eastAsia="hr-HR"/>
        </w:rPr>
        <w:t xml:space="preserve">u iznosu </w:t>
      </w:r>
      <w:r w:rsidR="00FC688A" w:rsidRPr="00A17B6F">
        <w:rPr>
          <w:rFonts w:ascii="Arial" w:eastAsia="Times New Roman" w:hAnsi="Arial" w:cs="Times New Roman"/>
          <w:sz w:val="24"/>
          <w:szCs w:val="24"/>
          <w:lang w:eastAsia="hr-HR"/>
        </w:rPr>
        <w:t>809.254,26</w:t>
      </w:r>
      <w:r w:rsidR="000A2417"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što je </w:t>
      </w:r>
      <w:r w:rsidR="00FC688A" w:rsidRPr="00A17B6F">
        <w:rPr>
          <w:rFonts w:ascii="Arial" w:eastAsia="Times New Roman" w:hAnsi="Arial" w:cs="Times New Roman"/>
          <w:sz w:val="24"/>
          <w:szCs w:val="24"/>
          <w:lang w:eastAsia="hr-HR"/>
        </w:rPr>
        <w:t>32,05</w:t>
      </w:r>
      <w:r w:rsidRPr="00A17B6F">
        <w:rPr>
          <w:rFonts w:ascii="Arial" w:eastAsia="Times New Roman" w:hAnsi="Arial" w:cs="Times New Roman"/>
          <w:sz w:val="24"/>
          <w:szCs w:val="24"/>
          <w:lang w:eastAsia="hr-HR"/>
        </w:rPr>
        <w:t xml:space="preserve">% </w:t>
      </w:r>
      <w:r w:rsidR="000A2417" w:rsidRPr="00A17B6F">
        <w:rPr>
          <w:rFonts w:ascii="Arial" w:eastAsia="Times New Roman" w:hAnsi="Arial" w:cs="Times New Roman"/>
          <w:sz w:val="24"/>
          <w:szCs w:val="24"/>
          <w:lang w:eastAsia="hr-HR"/>
        </w:rPr>
        <w:t xml:space="preserve">godišnjeg </w:t>
      </w:r>
      <w:r w:rsidRPr="00A17B6F">
        <w:rPr>
          <w:rFonts w:ascii="Arial" w:eastAsia="Times New Roman" w:hAnsi="Arial" w:cs="Times New Roman"/>
          <w:sz w:val="24"/>
          <w:szCs w:val="24"/>
          <w:lang w:eastAsia="hr-HR"/>
        </w:rPr>
        <w:t>plana</w:t>
      </w:r>
      <w:r w:rsidR="000A2417" w:rsidRPr="00A17B6F">
        <w:rPr>
          <w:rFonts w:ascii="Arial" w:eastAsia="Times New Roman" w:hAnsi="Arial" w:cs="Times New Roman"/>
          <w:sz w:val="24"/>
          <w:szCs w:val="24"/>
          <w:lang w:eastAsia="hr-HR"/>
        </w:rPr>
        <w:t xml:space="preserve">, ali i </w:t>
      </w:r>
      <w:r w:rsidR="00FC688A" w:rsidRPr="00A17B6F">
        <w:rPr>
          <w:rFonts w:ascii="Arial" w:eastAsia="Times New Roman" w:hAnsi="Arial" w:cs="Times New Roman"/>
          <w:sz w:val="24"/>
          <w:szCs w:val="24"/>
          <w:lang w:eastAsia="hr-HR"/>
        </w:rPr>
        <w:t>201.681,31</w:t>
      </w:r>
      <w:r w:rsidR="00654DBF" w:rsidRPr="00A17B6F">
        <w:rPr>
          <w:rFonts w:ascii="Arial" w:eastAsia="Times New Roman" w:hAnsi="Arial" w:cs="Times New Roman"/>
          <w:sz w:val="24"/>
          <w:szCs w:val="24"/>
          <w:lang w:eastAsia="hr-HR"/>
        </w:rPr>
        <w:t xml:space="preserve"> eur</w:t>
      </w:r>
      <w:r w:rsidR="00FC688A" w:rsidRPr="00A17B6F">
        <w:rPr>
          <w:rFonts w:ascii="Arial" w:eastAsia="Times New Roman" w:hAnsi="Arial" w:cs="Times New Roman"/>
          <w:sz w:val="24"/>
          <w:szCs w:val="24"/>
          <w:lang w:eastAsia="hr-HR"/>
        </w:rPr>
        <w:t>o</w:t>
      </w:r>
      <w:r w:rsidR="00654DBF" w:rsidRPr="00A17B6F">
        <w:rPr>
          <w:rFonts w:ascii="Arial" w:eastAsia="Times New Roman" w:hAnsi="Arial" w:cs="Times New Roman"/>
          <w:sz w:val="24"/>
          <w:szCs w:val="24"/>
          <w:lang w:eastAsia="hr-HR"/>
        </w:rPr>
        <w:t xml:space="preserve"> ili </w:t>
      </w:r>
      <w:r w:rsidR="00FC688A" w:rsidRPr="00A17B6F">
        <w:rPr>
          <w:rFonts w:ascii="Arial" w:eastAsia="Times New Roman" w:hAnsi="Arial" w:cs="Times New Roman"/>
          <w:sz w:val="24"/>
          <w:szCs w:val="24"/>
          <w:lang w:eastAsia="hr-HR"/>
        </w:rPr>
        <w:t>33,19</w:t>
      </w:r>
      <w:r w:rsidR="00654DBF" w:rsidRPr="00A17B6F">
        <w:rPr>
          <w:rFonts w:ascii="Arial" w:eastAsia="Times New Roman" w:hAnsi="Arial" w:cs="Times New Roman"/>
          <w:sz w:val="24"/>
          <w:szCs w:val="24"/>
          <w:lang w:eastAsia="hr-HR"/>
        </w:rPr>
        <w:t>% više u odnosu na isto razdoblje prethodne godine</w:t>
      </w:r>
      <w:r w:rsidRPr="00A17B6F">
        <w:rPr>
          <w:rFonts w:ascii="Arial" w:eastAsia="Times New Roman" w:hAnsi="Arial" w:cs="Times New Roman"/>
          <w:sz w:val="24"/>
          <w:szCs w:val="24"/>
          <w:lang w:eastAsia="hr-HR"/>
        </w:rPr>
        <w:t>. Veći dio navedenog iznosa (</w:t>
      </w:r>
      <w:r w:rsidR="00FC688A" w:rsidRPr="00A17B6F">
        <w:rPr>
          <w:rFonts w:ascii="Arial" w:eastAsia="Times New Roman" w:hAnsi="Arial" w:cs="Times New Roman"/>
          <w:sz w:val="24"/>
          <w:szCs w:val="24"/>
          <w:lang w:eastAsia="hr-HR"/>
        </w:rPr>
        <w:t>743.216,86</w:t>
      </w:r>
      <w:r w:rsidR="00654DBF"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realiziran je na teret vlastitih izvora </w:t>
      </w:r>
      <w:r w:rsidR="00FC688A" w:rsidRPr="00A17B6F">
        <w:rPr>
          <w:rFonts w:ascii="Arial" w:eastAsia="Times New Roman" w:hAnsi="Arial" w:cs="Times New Roman"/>
          <w:sz w:val="24"/>
          <w:szCs w:val="24"/>
          <w:lang w:eastAsia="hr-HR"/>
        </w:rPr>
        <w:t>Županije</w:t>
      </w:r>
      <w:r w:rsidRPr="00A17B6F">
        <w:rPr>
          <w:rFonts w:ascii="Arial" w:eastAsia="Times New Roman" w:hAnsi="Arial" w:cs="Times New Roman"/>
          <w:sz w:val="24"/>
          <w:szCs w:val="24"/>
          <w:lang w:eastAsia="hr-HR"/>
        </w:rPr>
        <w:t>, dok je manji dio (</w:t>
      </w:r>
      <w:r w:rsidR="00FC688A" w:rsidRPr="00A17B6F">
        <w:rPr>
          <w:rFonts w:ascii="Arial" w:eastAsia="Times New Roman" w:hAnsi="Arial" w:cs="Times New Roman"/>
          <w:sz w:val="24"/>
          <w:szCs w:val="24"/>
          <w:lang w:eastAsia="hr-HR"/>
        </w:rPr>
        <w:t>66.037,40</w:t>
      </w:r>
      <w:r w:rsidR="00654DBF"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ostvaren na teret vlastitih i namjenskih prihoda proračunskih korisnika. Najveći dio naknada građanima i kućanstvima Županija je isplatila za prijevoz učenika srednjih škola (</w:t>
      </w:r>
      <w:r w:rsidR="00FC688A" w:rsidRPr="00A17B6F">
        <w:rPr>
          <w:rFonts w:ascii="Arial" w:eastAsia="Times New Roman" w:hAnsi="Arial" w:cs="Times New Roman"/>
          <w:sz w:val="24"/>
          <w:szCs w:val="24"/>
          <w:lang w:eastAsia="hr-HR"/>
        </w:rPr>
        <w:t>647.092,07</w:t>
      </w:r>
      <w:r w:rsidR="00654DBF" w:rsidRPr="00A17B6F">
        <w:rPr>
          <w:rFonts w:ascii="Arial" w:eastAsia="Times New Roman" w:hAnsi="Arial" w:cs="Times New Roman"/>
          <w:sz w:val="24"/>
          <w:szCs w:val="24"/>
          <w:lang w:eastAsia="hr-HR"/>
        </w:rPr>
        <w:t xml:space="preserve"> eura ili </w:t>
      </w:r>
      <w:r w:rsidR="00FC688A" w:rsidRPr="00A17B6F">
        <w:rPr>
          <w:rFonts w:ascii="Arial" w:eastAsia="Times New Roman" w:hAnsi="Arial" w:cs="Times New Roman"/>
          <w:sz w:val="24"/>
          <w:szCs w:val="24"/>
          <w:lang w:eastAsia="hr-HR"/>
        </w:rPr>
        <w:t>180.764,15</w:t>
      </w:r>
      <w:r w:rsidR="00654DBF" w:rsidRPr="00A17B6F">
        <w:rPr>
          <w:rFonts w:ascii="Arial" w:eastAsia="Times New Roman" w:hAnsi="Arial" w:cs="Times New Roman"/>
          <w:sz w:val="24"/>
          <w:szCs w:val="24"/>
          <w:lang w:eastAsia="hr-HR"/>
        </w:rPr>
        <w:t xml:space="preserve"> eura više nego u 202</w:t>
      </w:r>
      <w:r w:rsidR="00FC688A" w:rsidRPr="00A17B6F">
        <w:rPr>
          <w:rFonts w:ascii="Arial" w:eastAsia="Times New Roman" w:hAnsi="Arial" w:cs="Times New Roman"/>
          <w:sz w:val="24"/>
          <w:szCs w:val="24"/>
          <w:lang w:eastAsia="hr-HR"/>
        </w:rPr>
        <w:t>3</w:t>
      </w:r>
      <w:r w:rsidR="00654DBF" w:rsidRPr="00A17B6F">
        <w:rPr>
          <w:rFonts w:ascii="Arial" w:eastAsia="Times New Roman" w:hAnsi="Arial" w:cs="Times New Roman"/>
          <w:sz w:val="24"/>
          <w:szCs w:val="24"/>
          <w:lang w:eastAsia="hr-HR"/>
        </w:rPr>
        <w:t>. godini</w:t>
      </w:r>
      <w:r w:rsidR="00FC688A" w:rsidRPr="00A17B6F">
        <w:rPr>
          <w:rFonts w:ascii="Arial" w:eastAsia="Times New Roman" w:hAnsi="Arial" w:cs="Times New Roman"/>
          <w:sz w:val="24"/>
          <w:szCs w:val="24"/>
          <w:lang w:eastAsia="hr-HR"/>
        </w:rPr>
        <w:t>),</w:t>
      </w:r>
      <w:r w:rsidR="00654DBF" w:rsidRPr="00A17B6F">
        <w:rPr>
          <w:rFonts w:ascii="Arial" w:eastAsia="Times New Roman" w:hAnsi="Arial" w:cs="Times New Roman"/>
          <w:sz w:val="24"/>
          <w:szCs w:val="24"/>
          <w:lang w:eastAsia="hr-HR"/>
        </w:rPr>
        <w:t xml:space="preserve"> za troškove prijevoza i ukopa hrvatskih ratnih vojnih invalida i branitelja (</w:t>
      </w:r>
      <w:r w:rsidR="00FC688A" w:rsidRPr="00A17B6F">
        <w:rPr>
          <w:rFonts w:ascii="Arial" w:eastAsia="Times New Roman" w:hAnsi="Arial" w:cs="Times New Roman"/>
          <w:sz w:val="24"/>
          <w:szCs w:val="24"/>
          <w:lang w:eastAsia="hr-HR"/>
        </w:rPr>
        <w:t>49.953,62</w:t>
      </w:r>
      <w:r w:rsidR="00654DBF" w:rsidRPr="00A17B6F">
        <w:rPr>
          <w:rFonts w:ascii="Arial" w:eastAsia="Times New Roman" w:hAnsi="Arial" w:cs="Times New Roman"/>
          <w:sz w:val="24"/>
          <w:szCs w:val="24"/>
          <w:lang w:eastAsia="hr-HR"/>
        </w:rPr>
        <w:t xml:space="preserve"> eura ili </w:t>
      </w:r>
      <w:r w:rsidR="00FC688A" w:rsidRPr="00A17B6F">
        <w:rPr>
          <w:rFonts w:ascii="Arial" w:eastAsia="Times New Roman" w:hAnsi="Arial" w:cs="Times New Roman"/>
          <w:sz w:val="24"/>
          <w:szCs w:val="24"/>
          <w:lang w:eastAsia="hr-HR"/>
        </w:rPr>
        <w:t>6.140,30</w:t>
      </w:r>
      <w:r w:rsidR="00654DBF" w:rsidRPr="00A17B6F">
        <w:rPr>
          <w:rFonts w:ascii="Arial" w:eastAsia="Times New Roman" w:hAnsi="Arial" w:cs="Times New Roman"/>
          <w:sz w:val="24"/>
          <w:szCs w:val="24"/>
          <w:lang w:eastAsia="hr-HR"/>
        </w:rPr>
        <w:t xml:space="preserve"> eura više nego u 202</w:t>
      </w:r>
      <w:r w:rsidR="00FC688A" w:rsidRPr="00A17B6F">
        <w:rPr>
          <w:rFonts w:ascii="Arial" w:eastAsia="Times New Roman" w:hAnsi="Arial" w:cs="Times New Roman"/>
          <w:sz w:val="24"/>
          <w:szCs w:val="24"/>
          <w:lang w:eastAsia="hr-HR"/>
        </w:rPr>
        <w:t>3</w:t>
      </w:r>
      <w:r w:rsidR="00654DBF" w:rsidRPr="00A17B6F">
        <w:rPr>
          <w:rFonts w:ascii="Arial" w:eastAsia="Times New Roman" w:hAnsi="Arial" w:cs="Times New Roman"/>
          <w:sz w:val="24"/>
          <w:szCs w:val="24"/>
          <w:lang w:eastAsia="hr-HR"/>
        </w:rPr>
        <w:t>. godini)</w:t>
      </w:r>
      <w:r w:rsidR="00FC688A" w:rsidRPr="00A17B6F">
        <w:rPr>
          <w:rFonts w:ascii="Arial" w:eastAsia="Times New Roman" w:hAnsi="Arial" w:cs="Times New Roman"/>
          <w:sz w:val="24"/>
          <w:szCs w:val="24"/>
          <w:lang w:eastAsia="hr-HR"/>
        </w:rPr>
        <w:t xml:space="preserve"> te za stipendiranje deficitarnih zanimanja (</w:t>
      </w:r>
      <w:r w:rsidR="006A6690">
        <w:rPr>
          <w:rFonts w:ascii="Arial" w:eastAsia="Times New Roman" w:hAnsi="Arial" w:cs="Times New Roman"/>
          <w:sz w:val="24"/>
          <w:szCs w:val="24"/>
          <w:lang w:eastAsia="hr-HR"/>
        </w:rPr>
        <w:t xml:space="preserve">35.520,00 eura ili </w:t>
      </w:r>
      <w:r w:rsidR="00FC688A" w:rsidRPr="00A17B6F">
        <w:rPr>
          <w:rFonts w:ascii="Arial" w:eastAsia="Times New Roman" w:hAnsi="Arial" w:cs="Times New Roman"/>
          <w:sz w:val="24"/>
          <w:szCs w:val="24"/>
          <w:lang w:eastAsia="hr-HR"/>
        </w:rPr>
        <w:t>6.056,16 eura</w:t>
      </w:r>
      <w:r w:rsidR="006A6690" w:rsidRPr="006A6690">
        <w:rPr>
          <w:rFonts w:ascii="Arial" w:eastAsia="Times New Roman" w:hAnsi="Arial" w:cs="Times New Roman"/>
          <w:sz w:val="24"/>
          <w:szCs w:val="24"/>
          <w:lang w:eastAsia="hr-HR"/>
        </w:rPr>
        <w:t xml:space="preserve"> </w:t>
      </w:r>
      <w:r w:rsidR="006A6690" w:rsidRPr="00A17B6F">
        <w:rPr>
          <w:rFonts w:ascii="Arial" w:eastAsia="Times New Roman" w:hAnsi="Arial" w:cs="Times New Roman"/>
          <w:sz w:val="24"/>
          <w:szCs w:val="24"/>
          <w:lang w:eastAsia="hr-HR"/>
        </w:rPr>
        <w:t>više nego u 2023. godini</w:t>
      </w:r>
      <w:r w:rsidR="00FC688A" w:rsidRPr="00A17B6F">
        <w:rPr>
          <w:rFonts w:ascii="Arial" w:eastAsia="Times New Roman" w:hAnsi="Arial" w:cs="Times New Roman"/>
          <w:sz w:val="24"/>
          <w:szCs w:val="24"/>
          <w:lang w:eastAsia="hr-HR"/>
        </w:rPr>
        <w:t>).</w:t>
      </w:r>
      <w:r w:rsidRPr="00A17B6F">
        <w:rPr>
          <w:rFonts w:ascii="Arial" w:eastAsia="Times New Roman" w:hAnsi="Arial" w:cs="Times New Roman"/>
          <w:sz w:val="24"/>
          <w:szCs w:val="24"/>
          <w:lang w:eastAsia="hr-HR"/>
        </w:rPr>
        <w:t xml:space="preserve"> </w:t>
      </w:r>
    </w:p>
    <w:p w14:paraId="151BACF3" w14:textId="3EE0BE59" w:rsidR="00E124AC"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b/>
          <w:bCs/>
          <w:sz w:val="24"/>
          <w:szCs w:val="24"/>
          <w:lang w:eastAsia="hr-HR"/>
        </w:rPr>
        <w:t xml:space="preserve">Skupina ostalih rashoda </w:t>
      </w:r>
      <w:r w:rsidRPr="00A17B6F">
        <w:rPr>
          <w:rFonts w:ascii="Arial" w:eastAsia="Times New Roman" w:hAnsi="Arial" w:cs="Times New Roman"/>
          <w:sz w:val="24"/>
          <w:szCs w:val="24"/>
          <w:lang w:eastAsia="hr-HR"/>
        </w:rPr>
        <w:t xml:space="preserve">izvršena je u prvoj polovici </w:t>
      </w:r>
      <w:r w:rsidR="000739EC" w:rsidRPr="00A17B6F">
        <w:rPr>
          <w:rFonts w:ascii="Arial" w:eastAsia="Times New Roman" w:hAnsi="Arial" w:cs="Times New Roman"/>
          <w:sz w:val="24"/>
          <w:szCs w:val="24"/>
          <w:lang w:eastAsia="hr-HR"/>
        </w:rPr>
        <w:t>202</w:t>
      </w:r>
      <w:r w:rsidR="00FC688A" w:rsidRPr="00A17B6F">
        <w:rPr>
          <w:rFonts w:ascii="Arial" w:eastAsia="Times New Roman" w:hAnsi="Arial" w:cs="Times New Roman"/>
          <w:sz w:val="24"/>
          <w:szCs w:val="24"/>
          <w:lang w:eastAsia="hr-HR"/>
        </w:rPr>
        <w:t>4</w:t>
      </w:r>
      <w:r w:rsidR="000739EC" w:rsidRPr="00A17B6F">
        <w:rPr>
          <w:rFonts w:ascii="Arial" w:eastAsia="Times New Roman" w:hAnsi="Arial" w:cs="Times New Roman"/>
          <w:sz w:val="24"/>
          <w:szCs w:val="24"/>
          <w:lang w:eastAsia="hr-HR"/>
        </w:rPr>
        <w:t xml:space="preserve">. </w:t>
      </w:r>
      <w:r w:rsidRPr="00A17B6F">
        <w:rPr>
          <w:rFonts w:ascii="Arial" w:eastAsia="Times New Roman" w:hAnsi="Arial" w:cs="Times New Roman"/>
          <w:sz w:val="24"/>
          <w:szCs w:val="24"/>
          <w:lang w:eastAsia="hr-HR"/>
        </w:rPr>
        <w:t xml:space="preserve">godine u ukupnom iznosu od </w:t>
      </w:r>
      <w:r w:rsidR="00FC688A" w:rsidRPr="00A17B6F">
        <w:rPr>
          <w:rFonts w:ascii="Arial" w:eastAsia="Times New Roman" w:hAnsi="Arial" w:cs="Times New Roman"/>
          <w:sz w:val="24"/>
          <w:szCs w:val="24"/>
          <w:lang w:eastAsia="hr-HR"/>
        </w:rPr>
        <w:t>4.199.988,31</w:t>
      </w:r>
      <w:r w:rsidR="000739EC" w:rsidRPr="00A17B6F">
        <w:rPr>
          <w:rFonts w:ascii="Arial" w:eastAsia="Times New Roman" w:hAnsi="Arial" w:cs="Times New Roman"/>
          <w:sz w:val="24"/>
          <w:szCs w:val="24"/>
          <w:lang w:eastAsia="hr-HR"/>
        </w:rPr>
        <w:t xml:space="preserve"> eur</w:t>
      </w:r>
      <w:r w:rsidR="00FC688A" w:rsidRPr="00A17B6F">
        <w:rPr>
          <w:rFonts w:ascii="Arial" w:eastAsia="Times New Roman" w:hAnsi="Arial" w:cs="Times New Roman"/>
          <w:sz w:val="24"/>
          <w:szCs w:val="24"/>
          <w:lang w:eastAsia="hr-HR"/>
        </w:rPr>
        <w:t>o</w:t>
      </w:r>
      <w:r w:rsidRPr="00A17B6F">
        <w:rPr>
          <w:rFonts w:ascii="Arial" w:eastAsia="Times New Roman" w:hAnsi="Arial" w:cs="Times New Roman"/>
          <w:sz w:val="24"/>
          <w:szCs w:val="24"/>
          <w:lang w:eastAsia="hr-HR"/>
        </w:rPr>
        <w:t xml:space="preserve"> što je </w:t>
      </w:r>
      <w:r w:rsidR="00FC688A" w:rsidRPr="00A17B6F">
        <w:rPr>
          <w:rFonts w:ascii="Arial" w:eastAsia="Times New Roman" w:hAnsi="Arial" w:cs="Times New Roman"/>
          <w:sz w:val="24"/>
          <w:szCs w:val="24"/>
          <w:lang w:eastAsia="hr-HR"/>
        </w:rPr>
        <w:t>35,09</w:t>
      </w:r>
      <w:r w:rsidR="00C8644B" w:rsidRPr="00A17B6F">
        <w:rPr>
          <w:rFonts w:ascii="Arial" w:eastAsia="Times New Roman" w:hAnsi="Arial" w:cs="Times New Roman"/>
          <w:sz w:val="24"/>
          <w:szCs w:val="24"/>
          <w:lang w:eastAsia="hr-HR"/>
        </w:rPr>
        <w:t xml:space="preserve">% godišnjeg plana i </w:t>
      </w:r>
      <w:r w:rsidR="00FC688A" w:rsidRPr="00A17B6F">
        <w:rPr>
          <w:rFonts w:ascii="Arial" w:eastAsia="Times New Roman" w:hAnsi="Arial" w:cs="Times New Roman"/>
          <w:sz w:val="24"/>
          <w:szCs w:val="24"/>
          <w:lang w:eastAsia="hr-HR"/>
        </w:rPr>
        <w:t>51,53</w:t>
      </w:r>
      <w:r w:rsidRPr="00A17B6F">
        <w:rPr>
          <w:rFonts w:ascii="Arial" w:eastAsia="Times New Roman" w:hAnsi="Arial" w:cs="Times New Roman"/>
          <w:sz w:val="24"/>
          <w:szCs w:val="24"/>
          <w:lang w:eastAsia="hr-HR"/>
        </w:rPr>
        <w:t xml:space="preserve">% </w:t>
      </w:r>
      <w:r w:rsidR="00C8644B" w:rsidRPr="00A17B6F">
        <w:rPr>
          <w:rFonts w:ascii="Arial" w:eastAsia="Times New Roman" w:hAnsi="Arial" w:cs="Times New Roman"/>
          <w:sz w:val="24"/>
          <w:szCs w:val="24"/>
          <w:lang w:eastAsia="hr-HR"/>
        </w:rPr>
        <w:t>više</w:t>
      </w:r>
      <w:r w:rsidRPr="00A17B6F">
        <w:rPr>
          <w:rFonts w:ascii="Arial" w:eastAsia="Times New Roman" w:hAnsi="Arial" w:cs="Times New Roman"/>
          <w:sz w:val="24"/>
          <w:szCs w:val="24"/>
          <w:lang w:eastAsia="hr-HR"/>
        </w:rPr>
        <w:t xml:space="preserve"> u odnosu na prvo polugodište 202</w:t>
      </w:r>
      <w:r w:rsidR="00FC688A" w:rsidRPr="00A17B6F">
        <w:rPr>
          <w:rFonts w:ascii="Arial" w:eastAsia="Times New Roman" w:hAnsi="Arial" w:cs="Times New Roman"/>
          <w:sz w:val="24"/>
          <w:szCs w:val="24"/>
          <w:lang w:eastAsia="hr-HR"/>
        </w:rPr>
        <w:t>3</w:t>
      </w:r>
      <w:r w:rsidRPr="00A17B6F">
        <w:rPr>
          <w:rFonts w:ascii="Arial" w:eastAsia="Times New Roman" w:hAnsi="Arial" w:cs="Times New Roman"/>
          <w:sz w:val="24"/>
          <w:szCs w:val="24"/>
          <w:lang w:eastAsia="hr-HR"/>
        </w:rPr>
        <w:t xml:space="preserve">. godine. Od navedenog iznosa, </w:t>
      </w:r>
      <w:r w:rsidR="00FC688A" w:rsidRPr="00A17B6F">
        <w:rPr>
          <w:rFonts w:ascii="Arial" w:eastAsia="Times New Roman" w:hAnsi="Arial" w:cs="Times New Roman"/>
          <w:sz w:val="24"/>
          <w:szCs w:val="24"/>
          <w:lang w:eastAsia="hr-HR"/>
        </w:rPr>
        <w:t>4.170.690,31</w:t>
      </w:r>
      <w:r w:rsidR="000739EC"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se odnosi na ostale rashode isplaćene na teret vlastitih izvora </w:t>
      </w:r>
      <w:r w:rsidR="00667462">
        <w:rPr>
          <w:rFonts w:ascii="Arial" w:eastAsia="Times New Roman" w:hAnsi="Arial" w:cs="Times New Roman"/>
          <w:sz w:val="24"/>
          <w:szCs w:val="24"/>
          <w:lang w:eastAsia="hr-HR"/>
        </w:rPr>
        <w:t>Županije</w:t>
      </w:r>
      <w:r w:rsidRPr="00A17B6F">
        <w:rPr>
          <w:rFonts w:ascii="Arial" w:eastAsia="Times New Roman" w:hAnsi="Arial" w:cs="Times New Roman"/>
          <w:sz w:val="24"/>
          <w:szCs w:val="24"/>
          <w:lang w:eastAsia="hr-HR"/>
        </w:rPr>
        <w:t xml:space="preserve"> dok se </w:t>
      </w:r>
      <w:r w:rsidR="00FC688A" w:rsidRPr="00A17B6F">
        <w:rPr>
          <w:rFonts w:ascii="Arial" w:eastAsia="Times New Roman" w:hAnsi="Arial" w:cs="Times New Roman"/>
          <w:sz w:val="24"/>
          <w:szCs w:val="24"/>
          <w:lang w:eastAsia="hr-HR"/>
        </w:rPr>
        <w:t>29.298,00</w:t>
      </w:r>
      <w:r w:rsidR="000739EC"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odnosi na ostale rashode isplaćene na teret vlastitih i namjenskih prihoda proračunskih korisnika. U sklopu navedene skupine rashoda najveću realizaciju bilježe </w:t>
      </w:r>
      <w:r w:rsidRPr="00A17B6F">
        <w:rPr>
          <w:rFonts w:ascii="Arial" w:eastAsia="Times New Roman" w:hAnsi="Arial" w:cs="Times New Roman"/>
          <w:b/>
          <w:sz w:val="24"/>
          <w:szCs w:val="24"/>
          <w:lang w:eastAsia="hr-HR"/>
        </w:rPr>
        <w:t>tekuće donacije</w:t>
      </w:r>
      <w:r w:rsidRPr="00A17B6F">
        <w:rPr>
          <w:rFonts w:ascii="Arial" w:eastAsia="Times New Roman" w:hAnsi="Arial" w:cs="Times New Roman"/>
          <w:sz w:val="24"/>
          <w:szCs w:val="24"/>
          <w:lang w:eastAsia="hr-HR"/>
        </w:rPr>
        <w:t xml:space="preserve"> (</w:t>
      </w:r>
      <w:r w:rsidR="00FC688A" w:rsidRPr="00A17B6F">
        <w:rPr>
          <w:rFonts w:ascii="Arial" w:eastAsia="Times New Roman" w:hAnsi="Arial" w:cs="Times New Roman"/>
          <w:sz w:val="24"/>
          <w:szCs w:val="24"/>
          <w:lang w:eastAsia="hr-HR"/>
        </w:rPr>
        <w:t>2.098.399,52</w:t>
      </w:r>
      <w:r w:rsidR="000739EC" w:rsidRPr="00A17B6F">
        <w:rPr>
          <w:rFonts w:ascii="Arial" w:eastAsia="Times New Roman" w:hAnsi="Arial" w:cs="Times New Roman"/>
          <w:sz w:val="24"/>
          <w:szCs w:val="24"/>
          <w:lang w:eastAsia="hr-HR"/>
        </w:rPr>
        <w:t xml:space="preserve"> eura</w:t>
      </w:r>
      <w:r w:rsidR="00C8644B" w:rsidRPr="00A17B6F">
        <w:rPr>
          <w:rFonts w:ascii="Arial" w:eastAsia="Times New Roman" w:hAnsi="Arial" w:cs="Times New Roman"/>
          <w:sz w:val="24"/>
          <w:szCs w:val="24"/>
          <w:lang w:eastAsia="hr-HR"/>
        </w:rPr>
        <w:t xml:space="preserve">), nakon kojih slijede </w:t>
      </w:r>
      <w:r w:rsidR="00C8644B" w:rsidRPr="00A17B6F">
        <w:rPr>
          <w:rFonts w:ascii="Arial" w:eastAsia="Times New Roman" w:hAnsi="Arial" w:cs="Times New Roman"/>
          <w:b/>
          <w:sz w:val="24"/>
          <w:szCs w:val="24"/>
          <w:lang w:eastAsia="hr-HR"/>
        </w:rPr>
        <w:t xml:space="preserve">rashodi za </w:t>
      </w:r>
      <w:r w:rsidR="00EA1815" w:rsidRPr="00A17B6F">
        <w:rPr>
          <w:rFonts w:ascii="Arial" w:eastAsia="Times New Roman" w:hAnsi="Arial" w:cs="Times New Roman"/>
          <w:b/>
          <w:sz w:val="24"/>
          <w:szCs w:val="24"/>
          <w:lang w:eastAsia="hr-HR"/>
        </w:rPr>
        <w:t>kapitalne donacije</w:t>
      </w:r>
      <w:r w:rsidR="00EA1815" w:rsidRPr="00A17B6F">
        <w:rPr>
          <w:rFonts w:ascii="Arial" w:eastAsia="Times New Roman" w:hAnsi="Arial" w:cs="Times New Roman"/>
          <w:sz w:val="24"/>
          <w:szCs w:val="24"/>
          <w:lang w:eastAsia="hr-HR"/>
        </w:rPr>
        <w:t xml:space="preserve"> (</w:t>
      </w:r>
      <w:r w:rsidR="00C64DC4" w:rsidRPr="00A17B6F">
        <w:rPr>
          <w:rFonts w:ascii="Arial" w:eastAsia="Times New Roman" w:hAnsi="Arial" w:cs="Times New Roman"/>
          <w:sz w:val="24"/>
          <w:szCs w:val="24"/>
          <w:lang w:eastAsia="hr-HR"/>
        </w:rPr>
        <w:t>1.627.521,59</w:t>
      </w:r>
      <w:r w:rsidR="00EA1815" w:rsidRPr="00A17B6F">
        <w:rPr>
          <w:rFonts w:ascii="Arial" w:eastAsia="Times New Roman" w:hAnsi="Arial" w:cs="Times New Roman"/>
          <w:sz w:val="24"/>
          <w:szCs w:val="24"/>
          <w:lang w:eastAsia="hr-HR"/>
        </w:rPr>
        <w:t xml:space="preserve"> eura), </w:t>
      </w:r>
      <w:r w:rsidR="00EA1815" w:rsidRPr="00A17B6F">
        <w:rPr>
          <w:rFonts w:ascii="Arial" w:eastAsia="Times New Roman" w:hAnsi="Arial" w:cs="Times New Roman"/>
          <w:b/>
          <w:sz w:val="24"/>
          <w:szCs w:val="24"/>
          <w:lang w:eastAsia="hr-HR"/>
        </w:rPr>
        <w:t>rashodi za</w:t>
      </w:r>
      <w:r w:rsidR="00EA1815" w:rsidRPr="00A17B6F">
        <w:rPr>
          <w:rFonts w:ascii="Arial" w:eastAsia="Times New Roman" w:hAnsi="Arial" w:cs="Times New Roman"/>
          <w:sz w:val="24"/>
          <w:szCs w:val="24"/>
          <w:lang w:eastAsia="hr-HR"/>
        </w:rPr>
        <w:t xml:space="preserve"> </w:t>
      </w:r>
      <w:r w:rsidR="00C8644B" w:rsidRPr="00A17B6F">
        <w:rPr>
          <w:rFonts w:ascii="Arial" w:eastAsia="Times New Roman" w:hAnsi="Arial" w:cs="Times New Roman"/>
          <w:b/>
          <w:sz w:val="24"/>
          <w:szCs w:val="24"/>
          <w:lang w:eastAsia="hr-HR"/>
        </w:rPr>
        <w:t>kapitalne pomoći</w:t>
      </w:r>
      <w:r w:rsidR="00C8644B" w:rsidRPr="00A17B6F">
        <w:rPr>
          <w:rFonts w:ascii="Arial" w:eastAsia="Times New Roman" w:hAnsi="Arial" w:cs="Times New Roman"/>
          <w:sz w:val="24"/>
          <w:szCs w:val="24"/>
          <w:lang w:eastAsia="hr-HR"/>
        </w:rPr>
        <w:t xml:space="preserve"> (</w:t>
      </w:r>
      <w:r w:rsidR="00C64DC4" w:rsidRPr="00A17B6F">
        <w:rPr>
          <w:rFonts w:ascii="Arial" w:eastAsia="Times New Roman" w:hAnsi="Arial" w:cs="Times New Roman"/>
          <w:sz w:val="24"/>
          <w:szCs w:val="24"/>
          <w:lang w:eastAsia="hr-HR"/>
        </w:rPr>
        <w:t>469.805,61</w:t>
      </w:r>
      <w:r w:rsidR="00EA1815" w:rsidRPr="00A17B6F">
        <w:rPr>
          <w:rFonts w:ascii="Arial" w:eastAsia="Times New Roman" w:hAnsi="Arial" w:cs="Times New Roman"/>
          <w:sz w:val="24"/>
          <w:szCs w:val="24"/>
          <w:lang w:eastAsia="hr-HR"/>
        </w:rPr>
        <w:t xml:space="preserve"> eura</w:t>
      </w:r>
      <w:r w:rsidR="00C8644B" w:rsidRPr="00A17B6F">
        <w:rPr>
          <w:rFonts w:ascii="Arial" w:eastAsia="Times New Roman" w:hAnsi="Arial" w:cs="Times New Roman"/>
          <w:sz w:val="24"/>
          <w:szCs w:val="24"/>
          <w:lang w:eastAsia="hr-HR"/>
        </w:rPr>
        <w:t xml:space="preserve">), te rashodi za </w:t>
      </w:r>
      <w:r w:rsidR="00C8644B" w:rsidRPr="00A17B6F">
        <w:rPr>
          <w:rFonts w:ascii="Arial" w:eastAsia="Times New Roman" w:hAnsi="Arial" w:cs="Times New Roman"/>
          <w:b/>
          <w:sz w:val="24"/>
          <w:szCs w:val="24"/>
          <w:lang w:eastAsia="hr-HR"/>
        </w:rPr>
        <w:t>kazne, penale i naknade štete</w:t>
      </w:r>
      <w:r w:rsidR="00C8644B" w:rsidRPr="00A17B6F">
        <w:rPr>
          <w:rFonts w:ascii="Arial" w:eastAsia="Times New Roman" w:hAnsi="Arial" w:cs="Times New Roman"/>
          <w:sz w:val="24"/>
          <w:szCs w:val="24"/>
          <w:lang w:eastAsia="hr-HR"/>
        </w:rPr>
        <w:t xml:space="preserve"> (</w:t>
      </w:r>
      <w:r w:rsidR="00C64DC4" w:rsidRPr="00A17B6F">
        <w:rPr>
          <w:rFonts w:ascii="Arial" w:eastAsia="Times New Roman" w:hAnsi="Arial" w:cs="Times New Roman"/>
          <w:sz w:val="24"/>
          <w:szCs w:val="24"/>
          <w:lang w:eastAsia="hr-HR"/>
        </w:rPr>
        <w:t>4.261,59</w:t>
      </w:r>
      <w:r w:rsidR="00EA1815" w:rsidRPr="00A17B6F">
        <w:rPr>
          <w:rFonts w:ascii="Arial" w:eastAsia="Times New Roman" w:hAnsi="Arial" w:cs="Times New Roman"/>
          <w:sz w:val="24"/>
          <w:szCs w:val="24"/>
          <w:lang w:eastAsia="hr-HR"/>
        </w:rPr>
        <w:t xml:space="preserve"> eura</w:t>
      </w:r>
      <w:r w:rsidR="00C8644B" w:rsidRPr="00A17B6F">
        <w:rPr>
          <w:rFonts w:ascii="Arial" w:eastAsia="Times New Roman" w:hAnsi="Arial" w:cs="Times New Roman"/>
          <w:sz w:val="24"/>
          <w:szCs w:val="24"/>
          <w:lang w:eastAsia="hr-HR"/>
        </w:rPr>
        <w:t xml:space="preserve">). </w:t>
      </w:r>
    </w:p>
    <w:p w14:paraId="35AB7E44" w14:textId="58DEDE0B" w:rsidR="00A833D1" w:rsidRPr="00A17B6F" w:rsidRDefault="00C8644B"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 xml:space="preserve">Najveći dio rashoda za </w:t>
      </w:r>
      <w:r w:rsidRPr="00A17B6F">
        <w:rPr>
          <w:rFonts w:ascii="Arial" w:eastAsia="Times New Roman" w:hAnsi="Arial" w:cs="Times New Roman"/>
          <w:b/>
          <w:sz w:val="24"/>
          <w:szCs w:val="24"/>
          <w:lang w:eastAsia="hr-HR"/>
        </w:rPr>
        <w:t>tekuće donacije</w:t>
      </w:r>
      <w:r w:rsidRPr="00A17B6F">
        <w:rPr>
          <w:rFonts w:ascii="Arial" w:eastAsia="Times New Roman" w:hAnsi="Arial" w:cs="Times New Roman"/>
          <w:sz w:val="24"/>
          <w:szCs w:val="24"/>
          <w:lang w:eastAsia="hr-HR"/>
        </w:rPr>
        <w:t xml:space="preserve"> realiziran je u sklopu </w:t>
      </w:r>
      <w:r w:rsidR="00E124AC" w:rsidRPr="00A17B6F">
        <w:rPr>
          <w:rFonts w:ascii="Arial" w:eastAsia="Times New Roman" w:hAnsi="Arial" w:cs="Times New Roman"/>
          <w:sz w:val="24"/>
          <w:szCs w:val="24"/>
          <w:lang w:eastAsia="hr-HR"/>
        </w:rPr>
        <w:t>s</w:t>
      </w:r>
      <w:r w:rsidRPr="00A17B6F">
        <w:rPr>
          <w:rFonts w:ascii="Arial" w:eastAsia="Times New Roman" w:hAnsi="Arial" w:cs="Times New Roman"/>
          <w:sz w:val="24"/>
          <w:szCs w:val="24"/>
          <w:lang w:eastAsia="hr-HR"/>
        </w:rPr>
        <w:t xml:space="preserve">ljedećih aktivnosti / projekata: </w:t>
      </w:r>
      <w:r w:rsidR="001735FB" w:rsidRPr="00A17B6F">
        <w:rPr>
          <w:rFonts w:ascii="Arial" w:eastAsia="Times New Roman" w:hAnsi="Arial" w:cs="Times New Roman"/>
          <w:i/>
          <w:sz w:val="24"/>
          <w:szCs w:val="24"/>
          <w:lang w:eastAsia="hr-HR"/>
        </w:rPr>
        <w:t>A</w:t>
      </w:r>
      <w:r w:rsidR="00E124AC" w:rsidRPr="00A17B6F">
        <w:rPr>
          <w:rFonts w:ascii="Arial" w:eastAsia="Times New Roman" w:hAnsi="Arial" w:cs="Times New Roman"/>
          <w:i/>
          <w:sz w:val="24"/>
          <w:szCs w:val="24"/>
          <w:lang w:eastAsia="hr-HR"/>
        </w:rPr>
        <w:t>510534 Program javnih potreba u sportu - Zajednica spor</w:t>
      </w:r>
      <w:r w:rsidR="001735FB" w:rsidRPr="00A17B6F">
        <w:rPr>
          <w:rFonts w:ascii="Arial" w:eastAsia="Times New Roman" w:hAnsi="Arial" w:cs="Times New Roman"/>
          <w:i/>
          <w:sz w:val="24"/>
          <w:szCs w:val="24"/>
          <w:lang w:eastAsia="hr-HR"/>
        </w:rPr>
        <w:t>tova PGŽ</w:t>
      </w:r>
      <w:r w:rsidR="001735FB" w:rsidRPr="00A17B6F">
        <w:rPr>
          <w:rFonts w:ascii="Arial" w:eastAsia="Times New Roman" w:hAnsi="Arial" w:cs="Times New Roman"/>
          <w:sz w:val="24"/>
          <w:szCs w:val="24"/>
          <w:lang w:eastAsia="hr-HR"/>
        </w:rPr>
        <w:t xml:space="preserve"> (</w:t>
      </w:r>
      <w:r w:rsidR="00C64DC4" w:rsidRPr="00A17B6F">
        <w:rPr>
          <w:rFonts w:ascii="Arial" w:eastAsia="Times New Roman" w:hAnsi="Arial" w:cs="Times New Roman"/>
          <w:sz w:val="24"/>
          <w:szCs w:val="24"/>
          <w:lang w:eastAsia="hr-HR"/>
        </w:rPr>
        <w:t>731.200,00</w:t>
      </w:r>
      <w:r w:rsidR="00A833D1" w:rsidRPr="00A17B6F">
        <w:rPr>
          <w:rFonts w:ascii="Arial" w:eastAsia="Times New Roman" w:hAnsi="Arial" w:cs="Times New Roman"/>
          <w:sz w:val="24"/>
          <w:szCs w:val="24"/>
          <w:lang w:eastAsia="hr-HR"/>
        </w:rPr>
        <w:t xml:space="preserve"> eura</w:t>
      </w:r>
      <w:r w:rsidR="001735FB" w:rsidRPr="00A17B6F">
        <w:rPr>
          <w:rFonts w:ascii="Arial" w:eastAsia="Times New Roman" w:hAnsi="Arial" w:cs="Times New Roman"/>
          <w:sz w:val="24"/>
          <w:szCs w:val="24"/>
          <w:lang w:eastAsia="hr-HR"/>
        </w:rPr>
        <w:t xml:space="preserve">), </w:t>
      </w:r>
      <w:r w:rsidR="00C64DC4" w:rsidRPr="00DB30F3">
        <w:rPr>
          <w:rFonts w:ascii="Arial" w:eastAsia="Times New Roman" w:hAnsi="Arial" w:cs="Times New Roman"/>
          <w:i/>
          <w:sz w:val="24"/>
          <w:szCs w:val="24"/>
          <w:lang w:eastAsia="hr-HR"/>
        </w:rPr>
        <w:t xml:space="preserve">A510435 </w:t>
      </w:r>
      <w:r w:rsidR="00C64DC4" w:rsidRPr="00DB30F3">
        <w:rPr>
          <w:rFonts w:ascii="Arial" w:eastAsia="Times New Roman" w:hAnsi="Arial" w:cs="Times New Roman"/>
          <w:i/>
          <w:sz w:val="24"/>
          <w:szCs w:val="24"/>
          <w:lang w:eastAsia="hr-HR"/>
        </w:rPr>
        <w:lastRenderedPageBreak/>
        <w:t xml:space="preserve">Program javnih potreba u kulturi </w:t>
      </w:r>
      <w:r w:rsidR="00C64DC4" w:rsidRPr="00A17B6F">
        <w:rPr>
          <w:rFonts w:ascii="Arial" w:eastAsia="Times New Roman" w:hAnsi="Arial" w:cs="Times New Roman"/>
          <w:sz w:val="24"/>
          <w:szCs w:val="24"/>
          <w:lang w:eastAsia="hr-HR"/>
        </w:rPr>
        <w:t>(169.100,00 eura),</w:t>
      </w:r>
      <w:r w:rsidR="00C64DC4" w:rsidRPr="00A17B6F">
        <w:rPr>
          <w:rFonts w:ascii="Arial" w:eastAsia="Times New Roman" w:hAnsi="Arial" w:cs="Times New Roman"/>
          <w:i/>
          <w:sz w:val="24"/>
          <w:szCs w:val="24"/>
          <w:lang w:eastAsia="hr-HR"/>
        </w:rPr>
        <w:t xml:space="preserve"> A120202 Aktivnosti zaštite od požara - Vatrogasna zajednica PGŽ </w:t>
      </w:r>
      <w:r w:rsidR="00C64DC4" w:rsidRPr="00A17B6F">
        <w:rPr>
          <w:rFonts w:ascii="Arial" w:eastAsia="Times New Roman" w:hAnsi="Arial" w:cs="Times New Roman"/>
          <w:sz w:val="24"/>
          <w:szCs w:val="24"/>
          <w:lang w:eastAsia="hr-HR"/>
        </w:rPr>
        <w:t xml:space="preserve">(164.450,46 eura), </w:t>
      </w:r>
      <w:r w:rsidR="00C64DC4" w:rsidRPr="00DB30F3">
        <w:rPr>
          <w:rFonts w:ascii="Arial" w:eastAsia="Times New Roman" w:hAnsi="Arial" w:cs="Times New Roman"/>
          <w:i/>
          <w:sz w:val="24"/>
          <w:szCs w:val="24"/>
          <w:lang w:eastAsia="hr-HR"/>
        </w:rPr>
        <w:t>A430401 Potpora Crvenom križu PGŽ</w:t>
      </w:r>
      <w:r w:rsidR="00C64DC4" w:rsidRPr="00A17B6F">
        <w:rPr>
          <w:rFonts w:ascii="Arial" w:eastAsia="Times New Roman" w:hAnsi="Arial" w:cs="Times New Roman"/>
          <w:sz w:val="24"/>
          <w:szCs w:val="24"/>
          <w:lang w:eastAsia="hr-HR"/>
        </w:rPr>
        <w:t xml:space="preserve"> (113.051,52 eura) i </w:t>
      </w:r>
      <w:r w:rsidR="00E124AC" w:rsidRPr="00DB30F3">
        <w:rPr>
          <w:rFonts w:ascii="Arial" w:eastAsia="Times New Roman" w:hAnsi="Arial" w:cs="Times New Roman"/>
          <w:i/>
          <w:sz w:val="24"/>
          <w:szCs w:val="24"/>
          <w:lang w:eastAsia="hr-HR"/>
        </w:rPr>
        <w:t>T430407 Programi ustanova i udruga u socijalnoj skrbi</w:t>
      </w:r>
      <w:r w:rsidR="00E124AC" w:rsidRPr="00A17B6F">
        <w:rPr>
          <w:rFonts w:ascii="Arial" w:eastAsia="Times New Roman" w:hAnsi="Arial" w:cs="Times New Roman"/>
          <w:sz w:val="24"/>
          <w:szCs w:val="24"/>
          <w:lang w:eastAsia="hr-HR"/>
        </w:rPr>
        <w:t xml:space="preserve"> (</w:t>
      </w:r>
      <w:r w:rsidR="00C64DC4" w:rsidRPr="00A17B6F">
        <w:rPr>
          <w:rFonts w:ascii="Arial" w:eastAsia="Times New Roman" w:hAnsi="Arial" w:cs="Times New Roman"/>
          <w:sz w:val="24"/>
          <w:szCs w:val="24"/>
          <w:lang w:eastAsia="hr-HR"/>
        </w:rPr>
        <w:t>111.800,00 eura).</w:t>
      </w:r>
    </w:p>
    <w:p w14:paraId="1E18EF5A" w14:textId="33693B2E" w:rsidR="00E124AC" w:rsidRPr="00A17B6F" w:rsidRDefault="00E124AC"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 xml:space="preserve">Najveći dio ostvarenih rashoda za </w:t>
      </w:r>
      <w:r w:rsidRPr="00A17B6F">
        <w:rPr>
          <w:rFonts w:ascii="Arial" w:eastAsia="Times New Roman" w:hAnsi="Arial" w:cs="Times New Roman"/>
          <w:b/>
          <w:sz w:val="24"/>
          <w:szCs w:val="24"/>
          <w:lang w:eastAsia="hr-HR"/>
        </w:rPr>
        <w:t>kapitalne donacije</w:t>
      </w:r>
      <w:r w:rsidRPr="00A17B6F">
        <w:rPr>
          <w:rFonts w:ascii="Arial" w:eastAsia="Times New Roman" w:hAnsi="Arial" w:cs="Times New Roman"/>
          <w:sz w:val="24"/>
          <w:szCs w:val="24"/>
          <w:lang w:eastAsia="hr-HR"/>
        </w:rPr>
        <w:t xml:space="preserve"> realiziran je u sklopu projekta </w:t>
      </w:r>
      <w:r w:rsidR="00C64DC4" w:rsidRPr="00DB30F3">
        <w:rPr>
          <w:rFonts w:ascii="Arial" w:eastAsia="Times New Roman" w:hAnsi="Arial" w:cs="Times New Roman"/>
          <w:i/>
          <w:sz w:val="24"/>
          <w:szCs w:val="24"/>
          <w:lang w:eastAsia="hr-HR"/>
        </w:rPr>
        <w:t xml:space="preserve">K900901 Zdravstveni centar </w:t>
      </w:r>
      <w:proofErr w:type="spellStart"/>
      <w:r w:rsidR="00C64DC4" w:rsidRPr="00DB30F3">
        <w:rPr>
          <w:rFonts w:ascii="Arial" w:eastAsia="Times New Roman" w:hAnsi="Arial" w:cs="Times New Roman"/>
          <w:i/>
          <w:sz w:val="24"/>
          <w:szCs w:val="24"/>
          <w:lang w:eastAsia="hr-HR"/>
        </w:rPr>
        <w:t>Rujevica</w:t>
      </w:r>
      <w:proofErr w:type="spellEnd"/>
      <w:r w:rsidR="00C64DC4" w:rsidRPr="00DB30F3">
        <w:rPr>
          <w:rFonts w:ascii="Arial" w:eastAsia="Times New Roman" w:hAnsi="Arial" w:cs="Times New Roman"/>
          <w:i/>
          <w:sz w:val="24"/>
          <w:szCs w:val="24"/>
          <w:lang w:eastAsia="hr-HR"/>
        </w:rPr>
        <w:t xml:space="preserve"> – Zapad</w:t>
      </w:r>
      <w:r w:rsidR="00C64DC4" w:rsidRPr="00A17B6F">
        <w:rPr>
          <w:rFonts w:ascii="Arial" w:eastAsia="Times New Roman" w:hAnsi="Arial" w:cs="Times New Roman"/>
          <w:sz w:val="24"/>
          <w:szCs w:val="24"/>
          <w:lang w:eastAsia="hr-HR"/>
        </w:rPr>
        <w:t xml:space="preserve"> (849.051,96 eura) i </w:t>
      </w:r>
      <w:r w:rsidR="00C64DC4" w:rsidRPr="00DB30F3">
        <w:rPr>
          <w:rFonts w:ascii="Arial" w:eastAsia="Times New Roman" w:hAnsi="Arial" w:cs="Times New Roman"/>
          <w:i/>
          <w:sz w:val="24"/>
          <w:szCs w:val="24"/>
          <w:lang w:eastAsia="hr-HR"/>
        </w:rPr>
        <w:t>K700209 Poticanje rada županijskih lučkih uprava</w:t>
      </w:r>
      <w:r w:rsidR="00C64DC4" w:rsidRPr="00A17B6F">
        <w:rPr>
          <w:rFonts w:ascii="Arial" w:eastAsia="Times New Roman" w:hAnsi="Arial" w:cs="Times New Roman"/>
          <w:sz w:val="24"/>
          <w:szCs w:val="24"/>
          <w:lang w:eastAsia="hr-HR"/>
        </w:rPr>
        <w:t xml:space="preserve"> (695.804,55 eura) </w:t>
      </w:r>
      <w:r w:rsidR="00DE1D96" w:rsidRPr="00A17B6F">
        <w:rPr>
          <w:rFonts w:ascii="Arial" w:eastAsia="Times New Roman" w:hAnsi="Arial" w:cs="Times New Roman"/>
          <w:sz w:val="24"/>
          <w:szCs w:val="24"/>
          <w:lang w:eastAsia="hr-HR"/>
        </w:rPr>
        <w:t xml:space="preserve">i koje su namijenjene </w:t>
      </w:r>
      <w:r w:rsidR="00C64DC4" w:rsidRPr="00A17B6F">
        <w:rPr>
          <w:rFonts w:ascii="Arial" w:eastAsia="Times New Roman" w:hAnsi="Arial" w:cs="Times New Roman"/>
          <w:sz w:val="24"/>
          <w:szCs w:val="24"/>
          <w:lang w:eastAsia="hr-HR"/>
        </w:rPr>
        <w:t>Hrvatskoj gorskoj službi spašavanja – stanici Rijeka, odnosno županijskim lučkim upravama</w:t>
      </w:r>
      <w:r w:rsidR="00DE1D96" w:rsidRPr="00A17B6F">
        <w:rPr>
          <w:rFonts w:ascii="Arial" w:eastAsia="Times New Roman" w:hAnsi="Arial" w:cs="Times New Roman"/>
          <w:sz w:val="24"/>
          <w:szCs w:val="24"/>
          <w:lang w:eastAsia="hr-HR"/>
        </w:rPr>
        <w:t>.</w:t>
      </w:r>
      <w:r w:rsidRPr="00A17B6F">
        <w:rPr>
          <w:rFonts w:ascii="Arial" w:eastAsia="Times New Roman" w:hAnsi="Arial" w:cs="Times New Roman"/>
          <w:sz w:val="24"/>
          <w:szCs w:val="24"/>
          <w:lang w:eastAsia="hr-HR"/>
        </w:rPr>
        <w:t xml:space="preserve"> </w:t>
      </w:r>
    </w:p>
    <w:p w14:paraId="4F9807D7" w14:textId="3B1D0159" w:rsidR="00DE1D96" w:rsidRPr="00A17B6F" w:rsidRDefault="00C64DC4"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Od u</w:t>
      </w:r>
      <w:r w:rsidR="005E3776" w:rsidRPr="00A17B6F">
        <w:rPr>
          <w:rFonts w:ascii="Arial" w:eastAsia="Times New Roman" w:hAnsi="Arial" w:cs="Times New Roman"/>
          <w:sz w:val="24"/>
          <w:szCs w:val="24"/>
          <w:lang w:eastAsia="hr-HR"/>
        </w:rPr>
        <w:t>kup</w:t>
      </w:r>
      <w:r w:rsidR="00DE1D96" w:rsidRPr="00A17B6F">
        <w:rPr>
          <w:rFonts w:ascii="Arial" w:eastAsia="Times New Roman" w:hAnsi="Arial" w:cs="Times New Roman"/>
          <w:sz w:val="24"/>
          <w:szCs w:val="24"/>
          <w:lang w:eastAsia="hr-HR"/>
        </w:rPr>
        <w:t>n</w:t>
      </w:r>
      <w:r w:rsidRPr="00A17B6F">
        <w:rPr>
          <w:rFonts w:ascii="Arial" w:eastAsia="Times New Roman" w:hAnsi="Arial" w:cs="Times New Roman"/>
          <w:sz w:val="24"/>
          <w:szCs w:val="24"/>
          <w:lang w:eastAsia="hr-HR"/>
        </w:rPr>
        <w:t>og</w:t>
      </w:r>
      <w:r w:rsidR="00E124AC" w:rsidRPr="00A17B6F">
        <w:rPr>
          <w:rFonts w:ascii="Arial" w:eastAsia="Times New Roman" w:hAnsi="Arial" w:cs="Times New Roman"/>
          <w:sz w:val="24"/>
          <w:szCs w:val="24"/>
          <w:lang w:eastAsia="hr-HR"/>
        </w:rPr>
        <w:t xml:space="preserve"> iznos</w:t>
      </w:r>
      <w:r w:rsidR="00DE1D96" w:rsidRPr="00A17B6F">
        <w:rPr>
          <w:rFonts w:ascii="Arial" w:eastAsia="Times New Roman" w:hAnsi="Arial" w:cs="Times New Roman"/>
          <w:sz w:val="24"/>
          <w:szCs w:val="24"/>
          <w:lang w:eastAsia="hr-HR"/>
        </w:rPr>
        <w:t xml:space="preserve"> </w:t>
      </w:r>
      <w:r w:rsidR="00E124AC" w:rsidRPr="00A17B6F">
        <w:rPr>
          <w:rFonts w:ascii="Arial" w:eastAsia="Times New Roman" w:hAnsi="Arial" w:cs="Times New Roman"/>
          <w:sz w:val="24"/>
          <w:szCs w:val="24"/>
          <w:lang w:eastAsia="hr-HR"/>
        </w:rPr>
        <w:t xml:space="preserve">kapitalnih pomoći </w:t>
      </w:r>
      <w:r w:rsidR="00DE1D96" w:rsidRPr="00A17B6F">
        <w:rPr>
          <w:rFonts w:ascii="Arial" w:eastAsia="Times New Roman" w:hAnsi="Arial" w:cs="Times New Roman"/>
          <w:sz w:val="24"/>
          <w:szCs w:val="24"/>
          <w:lang w:eastAsia="hr-HR"/>
        </w:rPr>
        <w:t>(</w:t>
      </w:r>
      <w:r w:rsidRPr="00A17B6F">
        <w:rPr>
          <w:rFonts w:ascii="Arial" w:eastAsia="Times New Roman" w:hAnsi="Arial" w:cs="Times New Roman"/>
          <w:sz w:val="24"/>
          <w:szCs w:val="24"/>
          <w:lang w:eastAsia="hr-HR"/>
        </w:rPr>
        <w:t>469.805,61</w:t>
      </w:r>
      <w:r w:rsidR="00DE1D96" w:rsidRPr="00A17B6F">
        <w:rPr>
          <w:rFonts w:ascii="Arial" w:eastAsia="Times New Roman" w:hAnsi="Arial" w:cs="Times New Roman"/>
          <w:sz w:val="24"/>
          <w:szCs w:val="24"/>
          <w:lang w:eastAsia="hr-HR"/>
        </w:rPr>
        <w:t xml:space="preserve"> eur</w:t>
      </w:r>
      <w:r w:rsidRPr="00A17B6F">
        <w:rPr>
          <w:rFonts w:ascii="Arial" w:eastAsia="Times New Roman" w:hAnsi="Arial" w:cs="Times New Roman"/>
          <w:sz w:val="24"/>
          <w:szCs w:val="24"/>
          <w:lang w:eastAsia="hr-HR"/>
        </w:rPr>
        <w:t>o</w:t>
      </w:r>
      <w:r w:rsidR="00DE1D96" w:rsidRPr="00A17B6F">
        <w:rPr>
          <w:rFonts w:ascii="Arial" w:eastAsia="Times New Roman" w:hAnsi="Arial" w:cs="Times New Roman"/>
          <w:sz w:val="24"/>
          <w:szCs w:val="24"/>
          <w:lang w:eastAsia="hr-HR"/>
        </w:rPr>
        <w:t xml:space="preserve">) </w:t>
      </w:r>
      <w:r w:rsidRPr="00A17B6F">
        <w:rPr>
          <w:rFonts w:ascii="Arial" w:eastAsia="Times New Roman" w:hAnsi="Arial" w:cs="Times New Roman"/>
          <w:sz w:val="24"/>
          <w:szCs w:val="24"/>
          <w:lang w:eastAsia="hr-HR"/>
        </w:rPr>
        <w:t xml:space="preserve">veći dio (454.805,61 euro) se </w:t>
      </w:r>
      <w:r w:rsidR="00DE1D96" w:rsidRPr="00A17B6F">
        <w:rPr>
          <w:rFonts w:ascii="Arial" w:eastAsia="Times New Roman" w:hAnsi="Arial" w:cs="Times New Roman"/>
          <w:sz w:val="24"/>
          <w:szCs w:val="24"/>
          <w:lang w:eastAsia="hr-HR"/>
        </w:rPr>
        <w:t xml:space="preserve">odnosi </w:t>
      </w:r>
      <w:r w:rsidR="00E124AC" w:rsidRPr="00A17B6F">
        <w:rPr>
          <w:rFonts w:ascii="Arial" w:eastAsia="Times New Roman" w:hAnsi="Arial" w:cs="Times New Roman"/>
          <w:sz w:val="24"/>
          <w:szCs w:val="24"/>
          <w:lang w:eastAsia="hr-HR"/>
        </w:rPr>
        <w:t xml:space="preserve">na </w:t>
      </w:r>
      <w:r w:rsidR="00E124AC" w:rsidRPr="00A17B6F">
        <w:rPr>
          <w:rFonts w:ascii="Arial" w:eastAsia="Times New Roman" w:hAnsi="Arial" w:cs="Times New Roman"/>
          <w:b/>
          <w:sz w:val="24"/>
          <w:szCs w:val="24"/>
          <w:lang w:eastAsia="hr-HR"/>
        </w:rPr>
        <w:t>kapitalne pomoći trgovačkim društvima u javnom sektoru</w:t>
      </w:r>
      <w:r w:rsidR="00E124AC" w:rsidRPr="00A17B6F">
        <w:rPr>
          <w:rFonts w:ascii="Arial" w:eastAsia="Times New Roman" w:hAnsi="Arial" w:cs="Times New Roman"/>
          <w:sz w:val="24"/>
          <w:szCs w:val="24"/>
          <w:lang w:eastAsia="hr-HR"/>
        </w:rPr>
        <w:t xml:space="preserve">, </w:t>
      </w:r>
      <w:r w:rsidR="00DE1D96" w:rsidRPr="00A17B6F">
        <w:rPr>
          <w:rFonts w:ascii="Arial" w:eastAsia="Times New Roman" w:hAnsi="Arial" w:cs="Times New Roman"/>
          <w:sz w:val="24"/>
          <w:szCs w:val="24"/>
          <w:lang w:eastAsia="hr-HR"/>
        </w:rPr>
        <w:t>koj</w:t>
      </w:r>
      <w:r w:rsidR="00185B60" w:rsidRPr="00A17B6F">
        <w:rPr>
          <w:rFonts w:ascii="Arial" w:eastAsia="Times New Roman" w:hAnsi="Arial" w:cs="Times New Roman"/>
          <w:sz w:val="24"/>
          <w:szCs w:val="24"/>
          <w:lang w:eastAsia="hr-HR"/>
        </w:rPr>
        <w:t>e</w:t>
      </w:r>
      <w:r w:rsidR="00DE1D96" w:rsidRPr="00A17B6F">
        <w:rPr>
          <w:rFonts w:ascii="Arial" w:eastAsia="Times New Roman" w:hAnsi="Arial" w:cs="Times New Roman"/>
          <w:sz w:val="24"/>
          <w:szCs w:val="24"/>
          <w:lang w:eastAsia="hr-HR"/>
        </w:rPr>
        <w:t xml:space="preserve"> </w:t>
      </w:r>
      <w:r w:rsidR="00185B60" w:rsidRPr="00A17B6F">
        <w:rPr>
          <w:rFonts w:ascii="Arial" w:eastAsia="Times New Roman" w:hAnsi="Arial" w:cs="Times New Roman"/>
          <w:sz w:val="24"/>
          <w:szCs w:val="24"/>
          <w:lang w:eastAsia="hr-HR"/>
        </w:rPr>
        <w:t>su</w:t>
      </w:r>
      <w:r w:rsidR="00DE1D96" w:rsidRPr="00A17B6F">
        <w:rPr>
          <w:rFonts w:ascii="Arial" w:eastAsia="Times New Roman" w:hAnsi="Arial" w:cs="Times New Roman"/>
          <w:sz w:val="24"/>
          <w:szCs w:val="24"/>
          <w:lang w:eastAsia="hr-HR"/>
        </w:rPr>
        <w:t xml:space="preserve"> isplaćen</w:t>
      </w:r>
      <w:r w:rsidR="00185B60" w:rsidRPr="00A17B6F">
        <w:rPr>
          <w:rFonts w:ascii="Arial" w:eastAsia="Times New Roman" w:hAnsi="Arial" w:cs="Times New Roman"/>
          <w:sz w:val="24"/>
          <w:szCs w:val="24"/>
          <w:lang w:eastAsia="hr-HR"/>
        </w:rPr>
        <w:t>e</w:t>
      </w:r>
      <w:r w:rsidR="00DE1D96" w:rsidRPr="00A17B6F">
        <w:rPr>
          <w:rFonts w:ascii="Arial" w:eastAsia="Times New Roman" w:hAnsi="Arial" w:cs="Times New Roman"/>
          <w:sz w:val="24"/>
          <w:szCs w:val="24"/>
          <w:lang w:eastAsia="hr-HR"/>
        </w:rPr>
        <w:t xml:space="preserve"> Goranskom sportskom centru d.o.o. u sklopu projekta </w:t>
      </w:r>
      <w:r w:rsidR="00DE1D96" w:rsidRPr="00DB30F3">
        <w:rPr>
          <w:rFonts w:ascii="Arial" w:eastAsia="Times New Roman" w:hAnsi="Arial" w:cs="Times New Roman"/>
          <w:i/>
          <w:sz w:val="24"/>
          <w:szCs w:val="24"/>
          <w:lang w:eastAsia="hr-HR"/>
        </w:rPr>
        <w:t xml:space="preserve">K90308 Regionalni sportsko-rekreacijski i turistički centar </w:t>
      </w:r>
      <w:proofErr w:type="spellStart"/>
      <w:r w:rsidR="00DE1D96" w:rsidRPr="00DB30F3">
        <w:rPr>
          <w:rFonts w:ascii="Arial" w:eastAsia="Times New Roman" w:hAnsi="Arial" w:cs="Times New Roman"/>
          <w:i/>
          <w:sz w:val="24"/>
          <w:szCs w:val="24"/>
          <w:lang w:eastAsia="hr-HR"/>
        </w:rPr>
        <w:t>Platak</w:t>
      </w:r>
      <w:proofErr w:type="spellEnd"/>
      <w:r w:rsidR="00DE1D96" w:rsidRPr="00A17B6F">
        <w:rPr>
          <w:rFonts w:ascii="Arial" w:eastAsia="Times New Roman" w:hAnsi="Arial" w:cs="Times New Roman"/>
          <w:sz w:val="24"/>
          <w:szCs w:val="24"/>
          <w:lang w:eastAsia="hr-HR"/>
        </w:rPr>
        <w:t xml:space="preserve"> </w:t>
      </w:r>
      <w:r w:rsidRPr="00A17B6F">
        <w:rPr>
          <w:rFonts w:ascii="Arial" w:eastAsia="Times New Roman" w:hAnsi="Arial" w:cs="Times New Roman"/>
          <w:sz w:val="24"/>
          <w:szCs w:val="24"/>
          <w:lang w:eastAsia="hr-HR"/>
        </w:rPr>
        <w:t xml:space="preserve">(419.901,08 eura) i Kanalu </w:t>
      </w:r>
      <w:proofErr w:type="spellStart"/>
      <w:r w:rsidRPr="00A17B6F">
        <w:rPr>
          <w:rFonts w:ascii="Arial" w:eastAsia="Times New Roman" w:hAnsi="Arial" w:cs="Times New Roman"/>
          <w:sz w:val="24"/>
          <w:szCs w:val="24"/>
          <w:lang w:eastAsia="hr-HR"/>
        </w:rPr>
        <w:t>Ri</w:t>
      </w:r>
      <w:proofErr w:type="spellEnd"/>
      <w:r w:rsidRPr="00A17B6F">
        <w:rPr>
          <w:rFonts w:ascii="Arial" w:eastAsia="Times New Roman" w:hAnsi="Arial" w:cs="Times New Roman"/>
          <w:sz w:val="24"/>
          <w:szCs w:val="24"/>
          <w:lang w:eastAsia="hr-HR"/>
        </w:rPr>
        <w:t xml:space="preserve"> </w:t>
      </w:r>
      <w:r w:rsidR="000D1062" w:rsidRPr="00A17B6F">
        <w:rPr>
          <w:rFonts w:ascii="Arial" w:eastAsia="Times New Roman" w:hAnsi="Arial" w:cs="Times New Roman"/>
          <w:sz w:val="24"/>
          <w:szCs w:val="24"/>
          <w:lang w:eastAsia="hr-HR"/>
        </w:rPr>
        <w:t xml:space="preserve">u sklopu aktivnosti </w:t>
      </w:r>
      <w:r w:rsidR="000D1062" w:rsidRPr="00DB30F3">
        <w:rPr>
          <w:rFonts w:ascii="Arial" w:eastAsia="Times New Roman" w:hAnsi="Arial" w:cs="Times New Roman"/>
          <w:i/>
          <w:sz w:val="24"/>
          <w:szCs w:val="24"/>
          <w:lang w:eastAsia="hr-HR"/>
        </w:rPr>
        <w:t xml:space="preserve">A700505 Poticanje rada regionalne televizijske postaje – Kanal </w:t>
      </w:r>
      <w:proofErr w:type="spellStart"/>
      <w:r w:rsidR="000D1062" w:rsidRPr="00DB30F3">
        <w:rPr>
          <w:rFonts w:ascii="Arial" w:eastAsia="Times New Roman" w:hAnsi="Arial" w:cs="Times New Roman"/>
          <w:i/>
          <w:sz w:val="24"/>
          <w:szCs w:val="24"/>
          <w:lang w:eastAsia="hr-HR"/>
        </w:rPr>
        <w:t>Ri</w:t>
      </w:r>
      <w:proofErr w:type="spellEnd"/>
      <w:r w:rsidR="000D1062" w:rsidRPr="00DB30F3">
        <w:rPr>
          <w:rFonts w:ascii="Arial" w:eastAsia="Times New Roman" w:hAnsi="Arial" w:cs="Times New Roman"/>
          <w:i/>
          <w:sz w:val="24"/>
          <w:szCs w:val="24"/>
          <w:lang w:eastAsia="hr-HR"/>
        </w:rPr>
        <w:t xml:space="preserve"> d.o.o.</w:t>
      </w:r>
      <w:r w:rsidR="000D1062" w:rsidRPr="00A17B6F">
        <w:rPr>
          <w:rFonts w:ascii="Arial" w:eastAsia="Times New Roman" w:hAnsi="Arial" w:cs="Times New Roman"/>
          <w:sz w:val="24"/>
          <w:szCs w:val="24"/>
          <w:lang w:eastAsia="hr-HR"/>
        </w:rPr>
        <w:t xml:space="preserve"> (34.904,53 eura). Iznos od 15.000,00 realiziranih rashoda za kapitalne pomoći trgovačkim društvima izvan javnog sektora odnosi se na kapitalnu pomoć Zračnom pristaništu Mali Lošinj d.o.o. namijenjenu održavanju objekata i opreme aerodroma.</w:t>
      </w:r>
    </w:p>
    <w:p w14:paraId="4F5B2E98" w14:textId="77777777" w:rsidR="009A72B2" w:rsidRPr="00A17B6F" w:rsidRDefault="009A72B2" w:rsidP="002E5D8E">
      <w:pPr>
        <w:spacing w:after="120" w:line="240" w:lineRule="auto"/>
        <w:ind w:firstLine="357"/>
        <w:jc w:val="both"/>
        <w:rPr>
          <w:rFonts w:ascii="Arial" w:eastAsia="Times New Roman" w:hAnsi="Arial" w:cs="Times New Roman"/>
          <w:sz w:val="24"/>
          <w:szCs w:val="24"/>
          <w:lang w:eastAsia="hr-HR"/>
        </w:rPr>
      </w:pPr>
    </w:p>
    <w:p w14:paraId="35B8E65F" w14:textId="77777777" w:rsidR="002E5D8E" w:rsidRPr="00A17B6F" w:rsidRDefault="002E5D8E" w:rsidP="002E5D8E">
      <w:pPr>
        <w:spacing w:after="120" w:line="240" w:lineRule="auto"/>
        <w:jc w:val="both"/>
        <w:rPr>
          <w:rFonts w:ascii="Arial" w:eastAsia="Times New Roman" w:hAnsi="Arial" w:cs="Times New Roman"/>
          <w:b/>
          <w:sz w:val="24"/>
          <w:szCs w:val="24"/>
          <w:u w:val="single"/>
          <w:lang w:eastAsia="hr-HR"/>
        </w:rPr>
      </w:pPr>
      <w:r w:rsidRPr="00A17B6F">
        <w:rPr>
          <w:rFonts w:ascii="Arial" w:eastAsia="Times New Roman" w:hAnsi="Arial" w:cs="Times New Roman"/>
          <w:b/>
          <w:sz w:val="24"/>
          <w:szCs w:val="24"/>
          <w:u w:val="single"/>
          <w:lang w:eastAsia="hr-HR"/>
        </w:rPr>
        <w:t>Rashodi za nabavu nefinancijske imovine</w:t>
      </w:r>
    </w:p>
    <w:p w14:paraId="762E5D20" w14:textId="3D36F98F" w:rsidR="00815C95"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b/>
          <w:sz w:val="24"/>
          <w:szCs w:val="24"/>
          <w:lang w:eastAsia="hr-HR"/>
        </w:rPr>
        <w:t>Rashodi za nabavu nefinancijske imovine</w:t>
      </w:r>
      <w:r w:rsidRPr="00A17B6F">
        <w:rPr>
          <w:rFonts w:ascii="Arial" w:eastAsia="Times New Roman" w:hAnsi="Arial" w:cs="Times New Roman"/>
          <w:sz w:val="24"/>
          <w:szCs w:val="24"/>
          <w:lang w:eastAsia="hr-HR"/>
        </w:rPr>
        <w:t xml:space="preserve"> u prvom polugodištu 202</w:t>
      </w:r>
      <w:r w:rsidR="00435C06" w:rsidRPr="00A17B6F">
        <w:rPr>
          <w:rFonts w:ascii="Arial" w:eastAsia="Times New Roman" w:hAnsi="Arial" w:cs="Times New Roman"/>
          <w:sz w:val="24"/>
          <w:szCs w:val="24"/>
          <w:lang w:eastAsia="hr-HR"/>
        </w:rPr>
        <w:t>4</w:t>
      </w:r>
      <w:r w:rsidRPr="00A17B6F">
        <w:rPr>
          <w:rFonts w:ascii="Arial" w:eastAsia="Times New Roman" w:hAnsi="Arial" w:cs="Times New Roman"/>
          <w:sz w:val="24"/>
          <w:szCs w:val="24"/>
          <w:lang w:eastAsia="hr-HR"/>
        </w:rPr>
        <w:t xml:space="preserve">. godine ostvareni su u iznosu od </w:t>
      </w:r>
      <w:r w:rsidR="00435C06" w:rsidRPr="00A17B6F">
        <w:rPr>
          <w:rFonts w:ascii="Arial" w:eastAsia="Times New Roman" w:hAnsi="Arial" w:cs="Times New Roman"/>
          <w:sz w:val="24"/>
          <w:szCs w:val="24"/>
          <w:lang w:eastAsia="hr-HR"/>
        </w:rPr>
        <w:t>1.655.883,51</w:t>
      </w:r>
      <w:r w:rsidR="00815C95"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što predstavlja </w:t>
      </w:r>
      <w:r w:rsidR="00435C06" w:rsidRPr="00A17B6F">
        <w:rPr>
          <w:rFonts w:ascii="Arial" w:eastAsia="Times New Roman" w:hAnsi="Arial" w:cs="Times New Roman"/>
          <w:sz w:val="24"/>
          <w:szCs w:val="24"/>
          <w:lang w:eastAsia="hr-HR"/>
        </w:rPr>
        <w:t>6,20</w:t>
      </w:r>
      <w:r w:rsidRPr="00A17B6F">
        <w:rPr>
          <w:rFonts w:ascii="Arial" w:eastAsia="Times New Roman" w:hAnsi="Arial" w:cs="Times New Roman"/>
          <w:sz w:val="24"/>
          <w:szCs w:val="24"/>
          <w:lang w:eastAsia="hr-HR"/>
        </w:rPr>
        <w:t xml:space="preserve">% </w:t>
      </w:r>
      <w:r w:rsidR="00815C95" w:rsidRPr="00A17B6F">
        <w:rPr>
          <w:rFonts w:ascii="Arial" w:eastAsia="Times New Roman" w:hAnsi="Arial" w:cs="Times New Roman"/>
          <w:sz w:val="24"/>
          <w:szCs w:val="24"/>
          <w:lang w:eastAsia="hr-HR"/>
        </w:rPr>
        <w:t xml:space="preserve">godišnjeg </w:t>
      </w:r>
      <w:r w:rsidRPr="00A17B6F">
        <w:rPr>
          <w:rFonts w:ascii="Arial" w:eastAsia="Times New Roman" w:hAnsi="Arial" w:cs="Times New Roman"/>
          <w:sz w:val="24"/>
          <w:szCs w:val="24"/>
          <w:lang w:eastAsia="hr-HR"/>
        </w:rPr>
        <w:t>plana</w:t>
      </w:r>
      <w:r w:rsidR="00815C95" w:rsidRPr="00A17B6F">
        <w:rPr>
          <w:rFonts w:ascii="Arial" w:eastAsia="Times New Roman" w:hAnsi="Arial" w:cs="Times New Roman"/>
          <w:sz w:val="24"/>
          <w:szCs w:val="24"/>
          <w:lang w:eastAsia="hr-HR"/>
        </w:rPr>
        <w:t xml:space="preserve">, ali i </w:t>
      </w:r>
      <w:r w:rsidR="00435C06" w:rsidRPr="00A17B6F">
        <w:rPr>
          <w:rFonts w:ascii="Arial" w:eastAsia="Times New Roman" w:hAnsi="Arial" w:cs="Times New Roman"/>
          <w:sz w:val="24"/>
          <w:szCs w:val="24"/>
          <w:lang w:eastAsia="hr-HR"/>
        </w:rPr>
        <w:t>1.726.418,81</w:t>
      </w:r>
      <w:r w:rsidR="00815C95" w:rsidRPr="00A17B6F">
        <w:rPr>
          <w:rFonts w:ascii="Arial" w:eastAsia="Times New Roman" w:hAnsi="Arial" w:cs="Times New Roman"/>
          <w:sz w:val="24"/>
          <w:szCs w:val="24"/>
          <w:lang w:eastAsia="hr-HR"/>
        </w:rPr>
        <w:t xml:space="preserve"> eura ili </w:t>
      </w:r>
      <w:r w:rsidR="00435C06" w:rsidRPr="00A17B6F">
        <w:rPr>
          <w:rFonts w:ascii="Arial" w:eastAsia="Times New Roman" w:hAnsi="Arial" w:cs="Times New Roman"/>
          <w:sz w:val="24"/>
          <w:szCs w:val="24"/>
          <w:lang w:eastAsia="hr-HR"/>
        </w:rPr>
        <w:t>51,04</w:t>
      </w:r>
      <w:r w:rsidR="00815C95" w:rsidRPr="00A17B6F">
        <w:rPr>
          <w:rFonts w:ascii="Arial" w:eastAsia="Times New Roman" w:hAnsi="Arial" w:cs="Times New Roman"/>
          <w:sz w:val="24"/>
          <w:szCs w:val="24"/>
          <w:lang w:eastAsia="hr-HR"/>
        </w:rPr>
        <w:t xml:space="preserve">% </w:t>
      </w:r>
      <w:r w:rsidR="00435C06" w:rsidRPr="00A17B6F">
        <w:rPr>
          <w:rFonts w:ascii="Arial" w:eastAsia="Times New Roman" w:hAnsi="Arial" w:cs="Times New Roman"/>
          <w:sz w:val="24"/>
          <w:szCs w:val="24"/>
          <w:lang w:eastAsia="hr-HR"/>
        </w:rPr>
        <w:t>manje</w:t>
      </w:r>
      <w:r w:rsidR="00815C95" w:rsidRPr="00A17B6F">
        <w:rPr>
          <w:rFonts w:ascii="Arial" w:eastAsia="Times New Roman" w:hAnsi="Arial" w:cs="Times New Roman"/>
          <w:sz w:val="24"/>
          <w:szCs w:val="24"/>
          <w:lang w:eastAsia="hr-HR"/>
        </w:rPr>
        <w:t xml:space="preserve"> nego u istom razdoblju prošle godine. Od navedenog iznosa, </w:t>
      </w:r>
      <w:r w:rsidR="00435C06" w:rsidRPr="00A17B6F">
        <w:rPr>
          <w:rFonts w:ascii="Arial" w:eastAsia="Times New Roman" w:hAnsi="Arial" w:cs="Times New Roman"/>
          <w:sz w:val="24"/>
          <w:szCs w:val="24"/>
          <w:lang w:eastAsia="hr-HR"/>
        </w:rPr>
        <w:t>689.913,10</w:t>
      </w:r>
      <w:r w:rsidR="00815C95" w:rsidRPr="00A17B6F">
        <w:rPr>
          <w:rFonts w:ascii="Arial" w:eastAsia="Times New Roman" w:hAnsi="Arial" w:cs="Times New Roman"/>
          <w:sz w:val="24"/>
          <w:szCs w:val="24"/>
          <w:lang w:eastAsia="hr-HR"/>
        </w:rPr>
        <w:t xml:space="preserve"> eura se odnosi na rashode izvršene na teret vlastitih izvora Proračuna, a </w:t>
      </w:r>
      <w:r w:rsidR="00435C06" w:rsidRPr="00A17B6F">
        <w:rPr>
          <w:rFonts w:ascii="Arial" w:eastAsia="Times New Roman" w:hAnsi="Arial" w:cs="Times New Roman"/>
          <w:sz w:val="24"/>
          <w:szCs w:val="24"/>
          <w:lang w:eastAsia="hr-HR"/>
        </w:rPr>
        <w:t>965.913,10</w:t>
      </w:r>
      <w:r w:rsidR="00815C95" w:rsidRPr="00A17B6F">
        <w:rPr>
          <w:rFonts w:ascii="Arial" w:eastAsia="Times New Roman" w:hAnsi="Arial" w:cs="Times New Roman"/>
          <w:sz w:val="24"/>
          <w:szCs w:val="24"/>
          <w:lang w:eastAsia="hr-HR"/>
        </w:rPr>
        <w:t xml:space="preserve"> eura na rashode za nabavu nefinancijske imovine na teret vlastitih i namjenskih prihoda proračunskih korisnika.</w:t>
      </w:r>
    </w:p>
    <w:p w14:paraId="75F7F628" w14:textId="16E8FA23" w:rsidR="00BE24E3"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 xml:space="preserve">U sklopu ove skupine rashoda najveću realizaciju bilježe </w:t>
      </w:r>
      <w:r w:rsidR="00BE24E3" w:rsidRPr="00A17B6F">
        <w:rPr>
          <w:rFonts w:ascii="Arial" w:eastAsia="Times New Roman" w:hAnsi="Arial" w:cs="Times New Roman"/>
          <w:sz w:val="24"/>
          <w:szCs w:val="24"/>
          <w:lang w:eastAsia="hr-HR"/>
        </w:rPr>
        <w:t>rashodi za nabavu proizvedene dugotrajne imovine (</w:t>
      </w:r>
      <w:r w:rsidR="00435C06" w:rsidRPr="00A17B6F">
        <w:rPr>
          <w:rFonts w:ascii="Arial" w:eastAsia="Times New Roman" w:hAnsi="Arial" w:cs="Times New Roman"/>
          <w:sz w:val="24"/>
          <w:szCs w:val="24"/>
          <w:lang w:eastAsia="hr-HR"/>
        </w:rPr>
        <w:t>1.316.162,51</w:t>
      </w:r>
      <w:r w:rsidR="00815C95" w:rsidRPr="00A17B6F">
        <w:rPr>
          <w:rFonts w:ascii="Arial" w:eastAsia="Times New Roman" w:hAnsi="Arial" w:cs="Times New Roman"/>
          <w:sz w:val="24"/>
          <w:szCs w:val="24"/>
          <w:lang w:eastAsia="hr-HR"/>
        </w:rPr>
        <w:t xml:space="preserve"> eura</w:t>
      </w:r>
      <w:r w:rsidR="00BE24E3" w:rsidRPr="00A17B6F">
        <w:rPr>
          <w:rFonts w:ascii="Arial" w:eastAsia="Times New Roman" w:hAnsi="Arial" w:cs="Times New Roman"/>
          <w:sz w:val="24"/>
          <w:szCs w:val="24"/>
          <w:lang w:eastAsia="hr-HR"/>
        </w:rPr>
        <w:t xml:space="preserve">) i rashodi za dodatna ulaganja na </w:t>
      </w:r>
      <w:r w:rsidR="00815C95" w:rsidRPr="00A17B6F">
        <w:rPr>
          <w:rFonts w:ascii="Arial" w:eastAsia="Times New Roman" w:hAnsi="Arial" w:cs="Times New Roman"/>
          <w:sz w:val="24"/>
          <w:szCs w:val="24"/>
          <w:lang w:eastAsia="hr-HR"/>
        </w:rPr>
        <w:t>nefinancijskoj imovini</w:t>
      </w:r>
      <w:r w:rsidR="00BE24E3" w:rsidRPr="00A17B6F">
        <w:rPr>
          <w:rFonts w:ascii="Arial" w:eastAsia="Times New Roman" w:hAnsi="Arial" w:cs="Times New Roman"/>
          <w:sz w:val="24"/>
          <w:szCs w:val="24"/>
          <w:lang w:eastAsia="hr-HR"/>
        </w:rPr>
        <w:t xml:space="preserve"> (</w:t>
      </w:r>
      <w:r w:rsidR="00435C06" w:rsidRPr="00A17B6F">
        <w:rPr>
          <w:rFonts w:ascii="Arial" w:eastAsia="Times New Roman" w:hAnsi="Arial" w:cs="Times New Roman"/>
          <w:sz w:val="24"/>
          <w:szCs w:val="24"/>
          <w:lang w:eastAsia="hr-HR"/>
        </w:rPr>
        <w:t>312.006,91</w:t>
      </w:r>
      <w:r w:rsidR="00815C95" w:rsidRPr="00A17B6F">
        <w:rPr>
          <w:rFonts w:ascii="Arial" w:eastAsia="Times New Roman" w:hAnsi="Arial" w:cs="Times New Roman"/>
          <w:sz w:val="24"/>
          <w:szCs w:val="24"/>
          <w:lang w:eastAsia="hr-HR"/>
        </w:rPr>
        <w:t xml:space="preserve"> eura</w:t>
      </w:r>
      <w:r w:rsidR="00BE24E3" w:rsidRPr="00A17B6F">
        <w:rPr>
          <w:rFonts w:ascii="Arial" w:eastAsia="Times New Roman" w:hAnsi="Arial" w:cs="Times New Roman"/>
          <w:sz w:val="24"/>
          <w:szCs w:val="24"/>
          <w:lang w:eastAsia="hr-HR"/>
        </w:rPr>
        <w:t xml:space="preserve">). U sklopu skupine rashoda za nabavu proizvedene dugotrajne imovine </w:t>
      </w:r>
      <w:r w:rsidRPr="00A17B6F">
        <w:rPr>
          <w:rFonts w:ascii="Arial" w:eastAsia="Times New Roman" w:hAnsi="Arial" w:cs="Times New Roman"/>
          <w:sz w:val="24"/>
          <w:szCs w:val="24"/>
          <w:lang w:eastAsia="hr-HR"/>
        </w:rPr>
        <w:t>najviše je rashoda ostvareno za postrojenja i opremu (</w:t>
      </w:r>
      <w:r w:rsidR="00435C06" w:rsidRPr="00A17B6F">
        <w:rPr>
          <w:rFonts w:ascii="Arial" w:eastAsia="Times New Roman" w:hAnsi="Arial" w:cs="Times New Roman"/>
          <w:sz w:val="24"/>
          <w:szCs w:val="24"/>
          <w:lang w:eastAsia="hr-HR"/>
        </w:rPr>
        <w:t>985.241,46</w:t>
      </w:r>
      <w:r w:rsidR="00815C95"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w:t>
      </w:r>
      <w:r w:rsidR="00BE24E3" w:rsidRPr="00A17B6F">
        <w:rPr>
          <w:rFonts w:ascii="Arial" w:eastAsia="Times New Roman" w:hAnsi="Arial" w:cs="Times New Roman"/>
          <w:sz w:val="24"/>
          <w:szCs w:val="24"/>
          <w:lang w:eastAsia="hr-HR"/>
        </w:rPr>
        <w:t xml:space="preserve">zatim za </w:t>
      </w:r>
      <w:r w:rsidR="00815C95" w:rsidRPr="00A17B6F">
        <w:rPr>
          <w:rFonts w:ascii="Arial" w:eastAsia="Times New Roman" w:hAnsi="Arial" w:cs="Times New Roman"/>
          <w:sz w:val="24"/>
          <w:szCs w:val="24"/>
          <w:lang w:eastAsia="hr-HR"/>
        </w:rPr>
        <w:t>nabavu nematerijalne proizvedene imovine (</w:t>
      </w:r>
      <w:r w:rsidR="00435C06" w:rsidRPr="00A17B6F">
        <w:rPr>
          <w:rFonts w:ascii="Arial" w:eastAsia="Times New Roman" w:hAnsi="Arial" w:cs="Times New Roman"/>
          <w:sz w:val="24"/>
          <w:szCs w:val="24"/>
          <w:lang w:eastAsia="hr-HR"/>
        </w:rPr>
        <w:t>211.208,73</w:t>
      </w:r>
      <w:r w:rsidR="00815C95" w:rsidRPr="00A17B6F">
        <w:rPr>
          <w:rFonts w:ascii="Arial" w:eastAsia="Times New Roman" w:hAnsi="Arial" w:cs="Times New Roman"/>
          <w:sz w:val="24"/>
          <w:szCs w:val="24"/>
          <w:lang w:eastAsia="hr-HR"/>
        </w:rPr>
        <w:t xml:space="preserve"> eura), nabavu prijevoznih sredstava (</w:t>
      </w:r>
      <w:r w:rsidR="00435C06" w:rsidRPr="00A17B6F">
        <w:rPr>
          <w:rFonts w:ascii="Arial" w:eastAsia="Times New Roman" w:hAnsi="Arial" w:cs="Times New Roman"/>
          <w:sz w:val="24"/>
          <w:szCs w:val="24"/>
          <w:lang w:eastAsia="hr-HR"/>
        </w:rPr>
        <w:t>104.034,28</w:t>
      </w:r>
      <w:r w:rsidR="00815C95" w:rsidRPr="00A17B6F">
        <w:rPr>
          <w:rFonts w:ascii="Arial" w:eastAsia="Times New Roman" w:hAnsi="Arial" w:cs="Times New Roman"/>
          <w:sz w:val="24"/>
          <w:szCs w:val="24"/>
          <w:lang w:eastAsia="hr-HR"/>
        </w:rPr>
        <w:t xml:space="preserve"> eura)</w:t>
      </w:r>
      <w:r w:rsidR="00CE4FE3" w:rsidRPr="00A17B6F">
        <w:rPr>
          <w:rFonts w:ascii="Arial" w:eastAsia="Times New Roman" w:hAnsi="Arial" w:cs="Times New Roman"/>
          <w:sz w:val="24"/>
          <w:szCs w:val="24"/>
          <w:lang w:eastAsia="hr-HR"/>
        </w:rPr>
        <w:t xml:space="preserve"> te za </w:t>
      </w:r>
      <w:r w:rsidR="00BE24E3" w:rsidRPr="00A17B6F">
        <w:rPr>
          <w:rFonts w:ascii="Arial" w:eastAsia="Times New Roman" w:hAnsi="Arial" w:cs="Times New Roman"/>
          <w:sz w:val="24"/>
          <w:szCs w:val="24"/>
          <w:lang w:eastAsia="hr-HR"/>
        </w:rPr>
        <w:t>nabavu građevinski</w:t>
      </w:r>
      <w:r w:rsidR="00CE4FE3" w:rsidRPr="00A17B6F">
        <w:rPr>
          <w:rFonts w:ascii="Arial" w:eastAsia="Times New Roman" w:hAnsi="Arial" w:cs="Times New Roman"/>
          <w:sz w:val="24"/>
          <w:szCs w:val="24"/>
          <w:lang w:eastAsia="hr-HR"/>
        </w:rPr>
        <w:t>h objekata (</w:t>
      </w:r>
      <w:r w:rsidR="00435C06" w:rsidRPr="00A17B6F">
        <w:rPr>
          <w:rFonts w:ascii="Arial" w:eastAsia="Times New Roman" w:hAnsi="Arial" w:cs="Times New Roman"/>
          <w:sz w:val="24"/>
          <w:szCs w:val="24"/>
          <w:lang w:eastAsia="hr-HR"/>
        </w:rPr>
        <w:t>1.741,99</w:t>
      </w:r>
      <w:r w:rsidR="00CE4FE3" w:rsidRPr="00A17B6F">
        <w:rPr>
          <w:rFonts w:ascii="Arial" w:eastAsia="Times New Roman" w:hAnsi="Arial" w:cs="Times New Roman"/>
          <w:sz w:val="24"/>
          <w:szCs w:val="24"/>
          <w:lang w:eastAsia="hr-HR"/>
        </w:rPr>
        <w:t xml:space="preserve"> eura).</w:t>
      </w:r>
    </w:p>
    <w:p w14:paraId="6FBE28EB" w14:textId="2346C33B" w:rsidR="00435C06" w:rsidRPr="00A17B6F" w:rsidRDefault="002E5D8E" w:rsidP="002E5D8E">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 xml:space="preserve">Najveća kapitalna ulaganja izvršena su kod </w:t>
      </w:r>
      <w:r w:rsidR="00435C06" w:rsidRPr="00A17B6F">
        <w:rPr>
          <w:rFonts w:ascii="Arial" w:eastAsia="Times New Roman" w:hAnsi="Arial" w:cs="Times New Roman"/>
          <w:sz w:val="24"/>
          <w:szCs w:val="24"/>
          <w:lang w:eastAsia="hr-HR"/>
        </w:rPr>
        <w:t xml:space="preserve">ustanova zdravstva (851.182,45 eura) i </w:t>
      </w:r>
      <w:r w:rsidR="00CE4FE3" w:rsidRPr="00A17B6F">
        <w:rPr>
          <w:rFonts w:ascii="Arial" w:eastAsia="Times New Roman" w:hAnsi="Arial" w:cs="Times New Roman"/>
          <w:sz w:val="24"/>
          <w:szCs w:val="24"/>
          <w:lang w:eastAsia="hr-HR"/>
        </w:rPr>
        <w:t>ustanova</w:t>
      </w:r>
      <w:r w:rsidR="00435C06" w:rsidRPr="00A17B6F">
        <w:rPr>
          <w:rFonts w:ascii="Arial" w:eastAsia="Times New Roman" w:hAnsi="Arial" w:cs="Times New Roman"/>
          <w:sz w:val="24"/>
          <w:szCs w:val="24"/>
          <w:lang w:eastAsia="hr-HR"/>
        </w:rPr>
        <w:t xml:space="preserve"> školstva (481.587,22 eura). </w:t>
      </w:r>
      <w:r w:rsidR="00427280" w:rsidRPr="00A17B6F">
        <w:rPr>
          <w:rFonts w:ascii="Arial" w:eastAsia="Times New Roman" w:hAnsi="Arial" w:cs="Times New Roman"/>
          <w:sz w:val="24"/>
          <w:szCs w:val="24"/>
          <w:lang w:eastAsia="hr-HR"/>
        </w:rPr>
        <w:t>Najveća pojedina kapitalna ulaganja</w:t>
      </w:r>
      <w:r w:rsidR="00CE4FE3" w:rsidRPr="00A17B6F">
        <w:rPr>
          <w:rFonts w:ascii="Arial" w:eastAsia="Times New Roman" w:hAnsi="Arial" w:cs="Times New Roman"/>
          <w:sz w:val="24"/>
          <w:szCs w:val="24"/>
          <w:lang w:eastAsia="hr-HR"/>
        </w:rPr>
        <w:t xml:space="preserve"> u prvoj polovici godine provedena su u sklopu</w:t>
      </w:r>
      <w:r w:rsidR="00435C06" w:rsidRPr="00A17B6F">
        <w:rPr>
          <w:rFonts w:ascii="Arial" w:eastAsia="Times New Roman" w:hAnsi="Arial" w:cs="Times New Roman"/>
          <w:sz w:val="24"/>
          <w:szCs w:val="24"/>
          <w:lang w:eastAsia="hr-HR"/>
        </w:rPr>
        <w:t xml:space="preserve"> sljedećih </w:t>
      </w:r>
      <w:r w:rsidR="00CE4FE3" w:rsidRPr="00A17B6F">
        <w:rPr>
          <w:rFonts w:ascii="Arial" w:eastAsia="Times New Roman" w:hAnsi="Arial" w:cs="Times New Roman"/>
          <w:sz w:val="24"/>
          <w:szCs w:val="24"/>
          <w:lang w:eastAsia="hr-HR"/>
        </w:rPr>
        <w:t>projekta</w:t>
      </w:r>
      <w:r w:rsidR="00435C06" w:rsidRPr="00A17B6F">
        <w:rPr>
          <w:rFonts w:ascii="Arial" w:eastAsia="Times New Roman" w:hAnsi="Arial" w:cs="Times New Roman"/>
          <w:sz w:val="24"/>
          <w:szCs w:val="24"/>
          <w:lang w:eastAsia="hr-HR"/>
        </w:rPr>
        <w:t xml:space="preserve">: </w:t>
      </w:r>
      <w:r w:rsidR="00435C06" w:rsidRPr="00A17B6F">
        <w:rPr>
          <w:rFonts w:ascii="Arial" w:eastAsia="Times New Roman" w:hAnsi="Arial" w:cs="Times New Roman"/>
          <w:i/>
          <w:sz w:val="24"/>
          <w:szCs w:val="24"/>
          <w:lang w:eastAsia="hr-HR"/>
        </w:rPr>
        <w:t>K420802 Ulaganje i opremanje objekata</w:t>
      </w:r>
      <w:r w:rsidR="00435C06" w:rsidRPr="00A17B6F">
        <w:rPr>
          <w:rFonts w:ascii="Arial" w:eastAsia="Times New Roman" w:hAnsi="Arial" w:cs="Times New Roman"/>
          <w:sz w:val="24"/>
          <w:szCs w:val="24"/>
          <w:lang w:eastAsia="hr-HR"/>
        </w:rPr>
        <w:t xml:space="preserve"> (</w:t>
      </w:r>
      <w:r w:rsidR="000A0E2F" w:rsidRPr="00A17B6F">
        <w:rPr>
          <w:rFonts w:ascii="Arial" w:eastAsia="Times New Roman" w:hAnsi="Arial" w:cs="Times New Roman"/>
          <w:sz w:val="24"/>
          <w:szCs w:val="24"/>
          <w:lang w:eastAsia="hr-HR"/>
        </w:rPr>
        <w:t>843.858,70</w:t>
      </w:r>
      <w:r w:rsidR="00435C06" w:rsidRPr="00A17B6F">
        <w:rPr>
          <w:rFonts w:ascii="Arial" w:eastAsia="Times New Roman" w:hAnsi="Arial" w:cs="Times New Roman"/>
          <w:sz w:val="24"/>
          <w:szCs w:val="24"/>
          <w:lang w:eastAsia="hr-HR"/>
        </w:rPr>
        <w:t xml:space="preserve"> eura)</w:t>
      </w:r>
      <w:r w:rsidR="000A0E2F" w:rsidRPr="00A17B6F">
        <w:rPr>
          <w:rFonts w:ascii="Arial" w:eastAsia="Times New Roman" w:hAnsi="Arial" w:cs="Times New Roman"/>
          <w:sz w:val="24"/>
          <w:szCs w:val="24"/>
          <w:lang w:eastAsia="hr-HR"/>
        </w:rPr>
        <w:t xml:space="preserve">, opremanje ustanova školstva (K530801, K550401 i K550403) u iznosu od 248.091,00 eura te </w:t>
      </w:r>
      <w:r w:rsidR="000A0E2F" w:rsidRPr="00A17B6F">
        <w:rPr>
          <w:rFonts w:ascii="Arial" w:eastAsia="Times New Roman" w:hAnsi="Arial" w:cs="Times New Roman"/>
          <w:i/>
          <w:sz w:val="24"/>
          <w:szCs w:val="24"/>
          <w:lang w:eastAsia="hr-HR"/>
        </w:rPr>
        <w:t>K600108 Kapitalna ulaganja u informatički sustav</w:t>
      </w:r>
      <w:r w:rsidR="000A0E2F" w:rsidRPr="00A17B6F">
        <w:rPr>
          <w:rFonts w:ascii="Arial" w:eastAsia="Times New Roman" w:hAnsi="Arial" w:cs="Times New Roman"/>
          <w:sz w:val="24"/>
          <w:szCs w:val="24"/>
          <w:lang w:eastAsia="hr-HR"/>
        </w:rPr>
        <w:t xml:space="preserve"> (100.206,40 eura).</w:t>
      </w:r>
    </w:p>
    <w:p w14:paraId="194A974F" w14:textId="77777777" w:rsidR="00435C06" w:rsidRPr="00A17B6F" w:rsidRDefault="00435C06" w:rsidP="002E5D8E">
      <w:pPr>
        <w:spacing w:after="120" w:line="240" w:lineRule="auto"/>
        <w:ind w:firstLine="357"/>
        <w:jc w:val="both"/>
        <w:rPr>
          <w:rFonts w:ascii="Arial" w:eastAsia="Times New Roman" w:hAnsi="Arial" w:cs="Times New Roman"/>
          <w:sz w:val="24"/>
          <w:szCs w:val="24"/>
          <w:lang w:eastAsia="hr-HR"/>
        </w:rPr>
      </w:pPr>
    </w:p>
    <w:p w14:paraId="1033CFEC" w14:textId="77777777" w:rsidR="002E5D8E" w:rsidRPr="00A17B6F" w:rsidRDefault="002E5D8E" w:rsidP="002E5D8E">
      <w:pPr>
        <w:spacing w:after="120" w:line="240" w:lineRule="auto"/>
        <w:jc w:val="both"/>
        <w:rPr>
          <w:rFonts w:ascii="Arial" w:eastAsia="Times New Roman" w:hAnsi="Arial" w:cs="Times New Roman"/>
          <w:b/>
          <w:sz w:val="24"/>
          <w:szCs w:val="24"/>
          <w:u w:val="single"/>
          <w:lang w:eastAsia="hr-HR"/>
        </w:rPr>
      </w:pPr>
      <w:r w:rsidRPr="00A17B6F">
        <w:rPr>
          <w:rFonts w:ascii="Arial" w:eastAsia="Times New Roman" w:hAnsi="Arial" w:cs="Times New Roman"/>
          <w:b/>
          <w:sz w:val="24"/>
          <w:szCs w:val="24"/>
          <w:u w:val="single"/>
          <w:lang w:eastAsia="hr-HR"/>
        </w:rPr>
        <w:t>Izdaci za financijsku imovinu i otplate zajmova</w:t>
      </w:r>
    </w:p>
    <w:p w14:paraId="705A70BA" w14:textId="5C0C3C1B" w:rsidR="000A0E2F" w:rsidRPr="00A17B6F" w:rsidRDefault="00880630" w:rsidP="00880630">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 xml:space="preserve">Ukupni </w:t>
      </w:r>
      <w:r w:rsidRPr="00A17B6F">
        <w:rPr>
          <w:rFonts w:ascii="Arial" w:eastAsia="Times New Roman" w:hAnsi="Arial" w:cs="Times New Roman"/>
          <w:b/>
          <w:sz w:val="24"/>
          <w:szCs w:val="24"/>
          <w:lang w:eastAsia="hr-HR"/>
        </w:rPr>
        <w:t>izdaci za financijsku imovinu i otplatu zajmova</w:t>
      </w:r>
      <w:r w:rsidRPr="00A17B6F">
        <w:rPr>
          <w:rFonts w:ascii="Arial" w:eastAsia="Times New Roman" w:hAnsi="Arial" w:cs="Times New Roman"/>
          <w:sz w:val="24"/>
          <w:szCs w:val="24"/>
          <w:lang w:eastAsia="hr-HR"/>
        </w:rPr>
        <w:t xml:space="preserve"> u 202</w:t>
      </w:r>
      <w:r w:rsidR="000A0E2F" w:rsidRPr="00A17B6F">
        <w:rPr>
          <w:rFonts w:ascii="Arial" w:eastAsia="Times New Roman" w:hAnsi="Arial" w:cs="Times New Roman"/>
          <w:sz w:val="24"/>
          <w:szCs w:val="24"/>
          <w:lang w:eastAsia="hr-HR"/>
        </w:rPr>
        <w:t>4</w:t>
      </w:r>
      <w:r w:rsidRPr="00A17B6F">
        <w:rPr>
          <w:rFonts w:ascii="Arial" w:eastAsia="Times New Roman" w:hAnsi="Arial" w:cs="Times New Roman"/>
          <w:sz w:val="24"/>
          <w:szCs w:val="24"/>
          <w:lang w:eastAsia="hr-HR"/>
        </w:rPr>
        <w:t xml:space="preserve">. godini na razini konsolidiranog Proračuna planirani su u iznosu </w:t>
      </w:r>
      <w:r w:rsidR="000A0E2F" w:rsidRPr="00A17B6F">
        <w:rPr>
          <w:rFonts w:ascii="Arial" w:eastAsia="Times New Roman" w:hAnsi="Arial" w:cs="Times New Roman"/>
          <w:sz w:val="24"/>
          <w:szCs w:val="24"/>
          <w:lang w:eastAsia="hr-HR"/>
        </w:rPr>
        <w:t>3.825.381,48</w:t>
      </w:r>
      <w:r w:rsidR="00C63451"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a u prvoj polovici godine ostvareni su u iznosu od </w:t>
      </w:r>
      <w:r w:rsidR="000A0E2F" w:rsidRPr="00A17B6F">
        <w:rPr>
          <w:rFonts w:ascii="Arial" w:eastAsia="Times New Roman" w:hAnsi="Arial" w:cs="Times New Roman"/>
          <w:sz w:val="24"/>
          <w:szCs w:val="24"/>
          <w:lang w:eastAsia="hr-HR"/>
        </w:rPr>
        <w:t>3.053.657,64</w:t>
      </w:r>
      <w:r w:rsidR="00C63451"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ili </w:t>
      </w:r>
      <w:r w:rsidR="000A0E2F" w:rsidRPr="00A17B6F">
        <w:rPr>
          <w:rFonts w:ascii="Arial" w:eastAsia="Times New Roman" w:hAnsi="Arial" w:cs="Times New Roman"/>
          <w:sz w:val="24"/>
          <w:szCs w:val="24"/>
          <w:lang w:eastAsia="hr-HR"/>
        </w:rPr>
        <w:t>79,83</w:t>
      </w:r>
      <w:r w:rsidRPr="00A17B6F">
        <w:rPr>
          <w:rFonts w:ascii="Arial" w:eastAsia="Times New Roman" w:hAnsi="Arial" w:cs="Times New Roman"/>
          <w:sz w:val="24"/>
          <w:szCs w:val="24"/>
          <w:lang w:eastAsia="hr-HR"/>
        </w:rPr>
        <w:t xml:space="preserve">% godišnjeg plana. Od navedenog iznosa, </w:t>
      </w:r>
      <w:r w:rsidR="000A0E2F" w:rsidRPr="00A17B6F">
        <w:rPr>
          <w:rFonts w:ascii="Arial" w:eastAsia="Times New Roman" w:hAnsi="Arial" w:cs="Times New Roman"/>
          <w:sz w:val="24"/>
          <w:szCs w:val="24"/>
          <w:lang w:eastAsia="hr-HR"/>
        </w:rPr>
        <w:t>171.824,05</w:t>
      </w:r>
      <w:r w:rsidR="00C63451"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se odnosi na izdatke Županije i to </w:t>
      </w:r>
      <w:r w:rsidR="00C63451" w:rsidRPr="00A17B6F">
        <w:rPr>
          <w:rFonts w:ascii="Arial" w:eastAsia="Times New Roman" w:hAnsi="Arial" w:cs="Times New Roman"/>
          <w:sz w:val="24"/>
          <w:szCs w:val="24"/>
          <w:lang w:eastAsia="hr-HR"/>
        </w:rPr>
        <w:t>58.052,40 eura</w:t>
      </w:r>
      <w:r w:rsidRPr="00A17B6F">
        <w:rPr>
          <w:rFonts w:ascii="Arial" w:eastAsia="Times New Roman" w:hAnsi="Arial" w:cs="Times New Roman"/>
          <w:sz w:val="24"/>
          <w:szCs w:val="24"/>
          <w:lang w:eastAsia="hr-HR"/>
        </w:rPr>
        <w:t xml:space="preserve"> za otplatu glavnice kredita </w:t>
      </w:r>
      <w:proofErr w:type="spellStart"/>
      <w:r w:rsidRPr="00A17B6F">
        <w:rPr>
          <w:rFonts w:ascii="Arial" w:eastAsia="Times New Roman" w:hAnsi="Arial" w:cs="Times New Roman"/>
          <w:sz w:val="24"/>
          <w:szCs w:val="24"/>
          <w:lang w:eastAsia="hr-HR"/>
        </w:rPr>
        <w:t>Thalassotherapie</w:t>
      </w:r>
      <w:proofErr w:type="spellEnd"/>
      <w:r w:rsidRPr="00A17B6F">
        <w:rPr>
          <w:rFonts w:ascii="Arial" w:eastAsia="Times New Roman" w:hAnsi="Arial" w:cs="Times New Roman"/>
          <w:sz w:val="23"/>
          <w:szCs w:val="24"/>
          <w:lang w:eastAsia="hr-HR"/>
        </w:rPr>
        <w:t>-</w:t>
      </w:r>
      <w:r w:rsidR="00C63451" w:rsidRPr="00A17B6F">
        <w:rPr>
          <w:rFonts w:ascii="Arial" w:eastAsia="Times New Roman" w:hAnsi="Arial" w:cs="Times New Roman"/>
          <w:sz w:val="24"/>
          <w:szCs w:val="24"/>
          <w:lang w:eastAsia="hr-HR"/>
        </w:rPr>
        <w:t xml:space="preserve">Opatija za </w:t>
      </w:r>
      <w:r w:rsidR="00810903" w:rsidRPr="00A17B6F">
        <w:rPr>
          <w:rFonts w:ascii="Arial" w:eastAsia="Times New Roman" w:hAnsi="Arial" w:cs="Times New Roman"/>
          <w:sz w:val="24"/>
          <w:szCs w:val="24"/>
          <w:lang w:eastAsia="hr-HR"/>
        </w:rPr>
        <w:t>nabavu</w:t>
      </w:r>
      <w:r w:rsidR="00C63451" w:rsidRPr="00A17B6F">
        <w:rPr>
          <w:rFonts w:ascii="Arial" w:eastAsia="Times New Roman" w:hAnsi="Arial" w:cs="Times New Roman"/>
          <w:sz w:val="24"/>
          <w:szCs w:val="24"/>
          <w:lang w:eastAsia="hr-HR"/>
        </w:rPr>
        <w:t xml:space="preserve"> angiografskog uređaja</w:t>
      </w:r>
      <w:r w:rsidR="00810903" w:rsidRPr="00A17B6F">
        <w:rPr>
          <w:rFonts w:ascii="Arial" w:eastAsia="Times New Roman" w:hAnsi="Arial" w:cs="Times New Roman"/>
          <w:sz w:val="24"/>
          <w:szCs w:val="24"/>
          <w:lang w:eastAsia="hr-HR"/>
        </w:rPr>
        <w:t xml:space="preserve"> </w:t>
      </w:r>
      <w:r w:rsidRPr="00A17B6F">
        <w:rPr>
          <w:rFonts w:ascii="Arial" w:eastAsia="Times New Roman" w:hAnsi="Arial" w:cs="Times New Roman"/>
          <w:sz w:val="24"/>
          <w:szCs w:val="24"/>
          <w:lang w:eastAsia="hr-HR"/>
        </w:rPr>
        <w:t xml:space="preserve">iz sredstava decentralizacije, </w:t>
      </w:r>
      <w:r w:rsidR="00C63451" w:rsidRPr="00A17B6F">
        <w:rPr>
          <w:rFonts w:ascii="Arial" w:eastAsia="Times New Roman" w:hAnsi="Arial" w:cs="Times New Roman"/>
          <w:sz w:val="24"/>
          <w:szCs w:val="24"/>
          <w:lang w:eastAsia="hr-HR"/>
        </w:rPr>
        <w:t>49.428,74 eura</w:t>
      </w:r>
      <w:r w:rsidRPr="00A17B6F">
        <w:rPr>
          <w:rFonts w:ascii="Arial" w:eastAsia="Times New Roman" w:hAnsi="Arial" w:cs="Times New Roman"/>
          <w:sz w:val="24"/>
          <w:szCs w:val="24"/>
          <w:lang w:eastAsia="hr-HR"/>
        </w:rPr>
        <w:t xml:space="preserve"> za otplatu zajma državi </w:t>
      </w:r>
      <w:r w:rsidR="00FA5BD1" w:rsidRPr="00A17B6F">
        <w:rPr>
          <w:rFonts w:ascii="Arial" w:eastAsia="Times New Roman" w:hAnsi="Arial" w:cs="Times New Roman"/>
          <w:sz w:val="24"/>
          <w:szCs w:val="24"/>
          <w:lang w:eastAsia="hr-HR"/>
        </w:rPr>
        <w:t xml:space="preserve">uzetog </w:t>
      </w:r>
      <w:r w:rsidRPr="00A17B6F">
        <w:rPr>
          <w:rFonts w:ascii="Arial" w:eastAsia="Times New Roman" w:hAnsi="Arial" w:cs="Times New Roman"/>
          <w:sz w:val="24"/>
          <w:szCs w:val="24"/>
          <w:lang w:eastAsia="hr-HR"/>
        </w:rPr>
        <w:t xml:space="preserve">za provedbu projekta ŽCGO </w:t>
      </w:r>
      <w:proofErr w:type="spellStart"/>
      <w:r w:rsidRPr="00A17B6F">
        <w:rPr>
          <w:rFonts w:ascii="Arial" w:eastAsia="Times New Roman" w:hAnsi="Arial" w:cs="Times New Roman"/>
          <w:sz w:val="24"/>
          <w:szCs w:val="24"/>
          <w:lang w:eastAsia="hr-HR"/>
        </w:rPr>
        <w:t>Marišćina</w:t>
      </w:r>
      <w:proofErr w:type="spellEnd"/>
      <w:r w:rsidR="00C63451" w:rsidRPr="00A17B6F">
        <w:rPr>
          <w:rFonts w:ascii="Arial" w:eastAsia="Times New Roman" w:hAnsi="Arial" w:cs="Times New Roman"/>
          <w:sz w:val="24"/>
          <w:szCs w:val="24"/>
          <w:lang w:eastAsia="hr-HR"/>
        </w:rPr>
        <w:t xml:space="preserve"> te</w:t>
      </w:r>
      <w:r w:rsidRPr="00A17B6F">
        <w:rPr>
          <w:rFonts w:ascii="Arial" w:eastAsia="Times New Roman" w:hAnsi="Arial" w:cs="Times New Roman"/>
          <w:sz w:val="24"/>
          <w:szCs w:val="24"/>
          <w:lang w:eastAsia="hr-HR"/>
        </w:rPr>
        <w:t xml:space="preserve"> </w:t>
      </w:r>
      <w:r w:rsidR="000A0E2F" w:rsidRPr="00A17B6F">
        <w:rPr>
          <w:rFonts w:ascii="Arial" w:eastAsia="Times New Roman" w:hAnsi="Arial" w:cs="Times New Roman"/>
          <w:sz w:val="24"/>
          <w:szCs w:val="24"/>
          <w:lang w:eastAsia="hr-HR"/>
        </w:rPr>
        <w:t>64.342,91</w:t>
      </w:r>
      <w:r w:rsidR="00C63451" w:rsidRPr="00A17B6F">
        <w:rPr>
          <w:rFonts w:ascii="Arial" w:eastAsia="Times New Roman" w:hAnsi="Arial" w:cs="Times New Roman"/>
          <w:sz w:val="24"/>
          <w:szCs w:val="24"/>
          <w:lang w:eastAsia="hr-HR"/>
        </w:rPr>
        <w:t xml:space="preserve"> eura</w:t>
      </w:r>
      <w:r w:rsidRPr="00A17B6F">
        <w:rPr>
          <w:rFonts w:ascii="Arial" w:eastAsia="Times New Roman" w:hAnsi="Arial" w:cs="Times New Roman"/>
          <w:sz w:val="24"/>
          <w:szCs w:val="24"/>
          <w:lang w:eastAsia="hr-HR"/>
        </w:rPr>
        <w:t xml:space="preserve"> za otplatu kredita realiziranog za sufinanciranje projekta Energetska obnova zgrada osnovnih škola</w:t>
      </w:r>
      <w:r w:rsidR="00DD16BE" w:rsidRPr="00A17B6F">
        <w:rPr>
          <w:rFonts w:ascii="Arial" w:eastAsia="Times New Roman" w:hAnsi="Arial" w:cs="Times New Roman"/>
          <w:sz w:val="24"/>
          <w:szCs w:val="24"/>
          <w:lang w:eastAsia="hr-HR"/>
        </w:rPr>
        <w:t xml:space="preserve">. </w:t>
      </w:r>
      <w:r w:rsidR="000A0E2F" w:rsidRPr="00A17B6F">
        <w:rPr>
          <w:rFonts w:ascii="Arial" w:eastAsia="Times New Roman" w:hAnsi="Arial" w:cs="Times New Roman"/>
          <w:sz w:val="24"/>
          <w:szCs w:val="24"/>
          <w:lang w:eastAsia="hr-HR"/>
        </w:rPr>
        <w:t>Proračunski korisnici su na teret vlastitih i namjenskih prihoda i primitaka u prvoj polovici 2024. godine realizirali 2.881.833,59 eura. Navedeni iznos se odnosi na otplatu glavnice kredita Doma zdravlja PGŽ za realizaciju projekta Doma zdravlja u Novom Vinodolskom (141.349,80 eura) dok se 2.740.483,79 eura odnosi na iznos otplaćenih glavnica kredita srednjih škola uzetih za realizaciju EU projekata i to: Ugostiteljske škole Opatija (</w:t>
      </w:r>
      <w:r w:rsidR="009F2C72" w:rsidRPr="00A17B6F">
        <w:rPr>
          <w:rFonts w:ascii="Arial" w:eastAsia="Times New Roman" w:hAnsi="Arial" w:cs="Times New Roman"/>
          <w:sz w:val="24"/>
          <w:szCs w:val="24"/>
          <w:lang w:eastAsia="hr-HR"/>
        </w:rPr>
        <w:t xml:space="preserve">1.510.151,10 eura), </w:t>
      </w:r>
      <w:r w:rsidR="009F2C72" w:rsidRPr="00A17B6F">
        <w:rPr>
          <w:rFonts w:ascii="Arial" w:eastAsia="Times New Roman" w:hAnsi="Arial" w:cs="Times New Roman"/>
          <w:sz w:val="24"/>
          <w:szCs w:val="24"/>
          <w:lang w:eastAsia="hr-HR"/>
        </w:rPr>
        <w:lastRenderedPageBreak/>
        <w:t>Elektroindustrijske i obrtničke škole Rijeka (800.000,00 eura) te Medicinske škole Rijeka (430.332,69 eura).</w:t>
      </w:r>
    </w:p>
    <w:p w14:paraId="25D033A9" w14:textId="3A7C6C4E" w:rsidR="00A30EDB" w:rsidRPr="00A17B6F" w:rsidRDefault="00A30EDB" w:rsidP="00B50575">
      <w:pPr>
        <w:spacing w:after="120" w:line="240" w:lineRule="auto"/>
        <w:ind w:firstLine="357"/>
        <w:jc w:val="both"/>
        <w:rPr>
          <w:rFonts w:ascii="Arial" w:eastAsia="Times New Roman" w:hAnsi="Arial" w:cs="Times New Roman"/>
          <w:sz w:val="24"/>
          <w:szCs w:val="24"/>
          <w:lang w:eastAsia="hr-HR"/>
        </w:rPr>
      </w:pPr>
      <w:r w:rsidRPr="00A17B6F">
        <w:rPr>
          <w:rFonts w:ascii="Arial" w:eastAsia="Times New Roman" w:hAnsi="Arial" w:cs="Times New Roman"/>
          <w:sz w:val="24"/>
          <w:szCs w:val="24"/>
          <w:lang w:eastAsia="hr-HR"/>
        </w:rPr>
        <w:t>U Grafikonu 4. je dan prikaz doprinosa rashoda financiranih iz izvornih prihoda Županije i rashoda financiranih iz vlastitih i namjenskih prihoda i primitaka proračunskih korisnima ukupno izvršenim rashodima na razini konsolidiranog proračuna u prvoj polovici 202</w:t>
      </w:r>
      <w:r w:rsidR="009F2C72" w:rsidRPr="00A17B6F">
        <w:rPr>
          <w:rFonts w:ascii="Arial" w:eastAsia="Times New Roman" w:hAnsi="Arial" w:cs="Times New Roman"/>
          <w:sz w:val="24"/>
          <w:szCs w:val="24"/>
          <w:lang w:eastAsia="hr-HR"/>
        </w:rPr>
        <w:t>4</w:t>
      </w:r>
      <w:r w:rsidRPr="00A17B6F">
        <w:rPr>
          <w:rFonts w:ascii="Arial" w:eastAsia="Times New Roman" w:hAnsi="Arial" w:cs="Times New Roman"/>
          <w:sz w:val="24"/>
          <w:szCs w:val="24"/>
          <w:lang w:eastAsia="hr-HR"/>
        </w:rPr>
        <w:t xml:space="preserve">. godine. Iz navedenog grafikona je razvidno da je doprinos rashoda </w:t>
      </w:r>
      <w:r w:rsidR="009F2C72" w:rsidRPr="00A17B6F">
        <w:rPr>
          <w:rFonts w:ascii="Arial" w:eastAsia="Times New Roman" w:hAnsi="Arial" w:cs="Times New Roman"/>
          <w:sz w:val="24"/>
          <w:szCs w:val="24"/>
          <w:lang w:eastAsia="hr-HR"/>
        </w:rPr>
        <w:t xml:space="preserve">za zaposlene i materijalne rashode </w:t>
      </w:r>
      <w:r w:rsidRPr="00A17B6F">
        <w:rPr>
          <w:rFonts w:ascii="Arial" w:eastAsia="Times New Roman" w:hAnsi="Arial" w:cs="Times New Roman"/>
          <w:sz w:val="24"/>
          <w:szCs w:val="24"/>
          <w:lang w:eastAsia="hr-HR"/>
        </w:rPr>
        <w:t>koje financiraju proračunskih korisnici daleko veći od rashoda koje je u prvoj polovici financirala Žup</w:t>
      </w:r>
      <w:r w:rsidR="009F2C72" w:rsidRPr="00A17B6F">
        <w:rPr>
          <w:rFonts w:ascii="Arial" w:eastAsia="Times New Roman" w:hAnsi="Arial" w:cs="Times New Roman"/>
          <w:sz w:val="24"/>
          <w:szCs w:val="24"/>
          <w:lang w:eastAsia="hr-HR"/>
        </w:rPr>
        <w:t>anija.</w:t>
      </w:r>
    </w:p>
    <w:p w14:paraId="2A367B05" w14:textId="08798B83" w:rsidR="00A30EDB" w:rsidRPr="00A17B6F" w:rsidRDefault="00A30EDB" w:rsidP="00A30EDB">
      <w:pPr>
        <w:numPr>
          <w:ilvl w:val="12"/>
          <w:numId w:val="0"/>
        </w:numPr>
        <w:spacing w:after="0" w:line="240" w:lineRule="auto"/>
        <w:ind w:left="1418" w:hanging="1418"/>
        <w:rPr>
          <w:rFonts w:ascii="Arial" w:eastAsia="Times New Roman" w:hAnsi="Arial" w:cs="Times New Roman"/>
          <w:sz w:val="24"/>
          <w:szCs w:val="24"/>
          <w:lang w:eastAsia="hr-HR"/>
        </w:rPr>
      </w:pPr>
      <w:r w:rsidRPr="00A17B6F">
        <w:rPr>
          <w:rFonts w:ascii="Arial" w:eastAsia="Times New Roman" w:hAnsi="Arial" w:cs="Arial"/>
          <w:b/>
          <w:sz w:val="23"/>
          <w:szCs w:val="23"/>
          <w:lang w:eastAsia="hr-HR"/>
        </w:rPr>
        <w:t xml:space="preserve">Grafikon 4.: </w:t>
      </w:r>
      <w:r w:rsidRPr="00A17B6F">
        <w:rPr>
          <w:rFonts w:ascii="Arial" w:eastAsia="Times New Roman" w:hAnsi="Arial" w:cs="Times New Roman"/>
          <w:sz w:val="24"/>
          <w:szCs w:val="24"/>
          <w:lang w:eastAsia="hr-HR"/>
        </w:rPr>
        <w:t xml:space="preserve">Doprinos </w:t>
      </w:r>
      <w:r w:rsidR="00A83347" w:rsidRPr="00A17B6F">
        <w:rPr>
          <w:rFonts w:ascii="Arial" w:eastAsia="Times New Roman" w:hAnsi="Arial" w:cs="Times New Roman"/>
          <w:sz w:val="24"/>
          <w:szCs w:val="24"/>
          <w:lang w:eastAsia="hr-HR"/>
        </w:rPr>
        <w:t xml:space="preserve">ukupno </w:t>
      </w:r>
      <w:r w:rsidRPr="00A17B6F">
        <w:rPr>
          <w:rFonts w:ascii="Arial" w:eastAsia="Times New Roman" w:hAnsi="Arial" w:cs="Times New Roman"/>
          <w:sz w:val="24"/>
          <w:szCs w:val="24"/>
          <w:lang w:eastAsia="hr-HR"/>
        </w:rPr>
        <w:t>izvršenim rashodima</w:t>
      </w:r>
      <w:r w:rsidR="00A83347" w:rsidRPr="00A17B6F">
        <w:rPr>
          <w:rFonts w:ascii="Arial" w:eastAsia="Times New Roman" w:hAnsi="Arial" w:cs="Times New Roman"/>
          <w:sz w:val="24"/>
          <w:szCs w:val="24"/>
          <w:lang w:eastAsia="hr-HR"/>
        </w:rPr>
        <w:t xml:space="preserve"> i izdacima</w:t>
      </w:r>
      <w:r w:rsidRPr="00A17B6F">
        <w:rPr>
          <w:rFonts w:ascii="Arial" w:eastAsia="Times New Roman" w:hAnsi="Arial" w:cs="Times New Roman"/>
          <w:sz w:val="24"/>
          <w:szCs w:val="24"/>
          <w:lang w:eastAsia="hr-HR"/>
        </w:rPr>
        <w:t xml:space="preserve"> Proračuna u prvom polugodištu 202</w:t>
      </w:r>
      <w:r w:rsidR="00E4215A" w:rsidRPr="00A17B6F">
        <w:rPr>
          <w:rFonts w:ascii="Arial" w:eastAsia="Times New Roman" w:hAnsi="Arial" w:cs="Times New Roman"/>
          <w:sz w:val="24"/>
          <w:szCs w:val="24"/>
          <w:lang w:eastAsia="hr-HR"/>
        </w:rPr>
        <w:t>4</w:t>
      </w:r>
      <w:r w:rsidRPr="00A17B6F">
        <w:rPr>
          <w:rFonts w:ascii="Arial" w:eastAsia="Times New Roman" w:hAnsi="Arial" w:cs="Times New Roman"/>
          <w:sz w:val="24"/>
          <w:szCs w:val="24"/>
          <w:lang w:eastAsia="hr-HR"/>
        </w:rPr>
        <w:t>. godine</w:t>
      </w:r>
    </w:p>
    <w:p w14:paraId="044E0FB9" w14:textId="1A61CA39" w:rsidR="00E4215A" w:rsidRPr="00A17B6F" w:rsidRDefault="00E4215A" w:rsidP="00A30EDB">
      <w:pPr>
        <w:numPr>
          <w:ilvl w:val="12"/>
          <w:numId w:val="0"/>
        </w:numPr>
        <w:spacing w:after="0" w:line="240" w:lineRule="auto"/>
        <w:ind w:left="1418" w:hanging="1418"/>
        <w:rPr>
          <w:rFonts w:ascii="Arial" w:eastAsia="Times New Roman" w:hAnsi="Arial" w:cs="Times New Roman"/>
          <w:sz w:val="24"/>
          <w:szCs w:val="24"/>
          <w:lang w:eastAsia="hr-HR"/>
        </w:rPr>
      </w:pPr>
    </w:p>
    <w:p w14:paraId="11091D3C" w14:textId="73CA6689" w:rsidR="00007355" w:rsidRPr="00A17B6F" w:rsidRDefault="00E4215A" w:rsidP="00BD5A00">
      <w:pPr>
        <w:numPr>
          <w:ilvl w:val="12"/>
          <w:numId w:val="0"/>
        </w:numPr>
        <w:spacing w:after="0" w:line="240" w:lineRule="auto"/>
        <w:ind w:left="1418" w:hanging="1418"/>
        <w:rPr>
          <w:rFonts w:ascii="Arial" w:eastAsia="Times New Roman" w:hAnsi="Arial" w:cs="Times New Roman"/>
          <w:sz w:val="16"/>
          <w:szCs w:val="16"/>
          <w:lang w:eastAsia="hr-HR"/>
        </w:rPr>
      </w:pPr>
      <w:r w:rsidRPr="00A17B6F">
        <w:rPr>
          <w:rFonts w:ascii="Arial" w:eastAsia="Times New Roman" w:hAnsi="Arial" w:cs="Times New Roman"/>
          <w:noProof/>
          <w:sz w:val="24"/>
          <w:szCs w:val="24"/>
          <w:lang w:eastAsia="hr-HR"/>
        </w:rPr>
        <w:drawing>
          <wp:inline distT="0" distB="0" distL="0" distR="0" wp14:anchorId="32DF5182" wp14:editId="73845566">
            <wp:extent cx="6208832" cy="3009331"/>
            <wp:effectExtent l="0" t="0" r="190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34408" cy="3021727"/>
                    </a:xfrm>
                    <a:prstGeom prst="rect">
                      <a:avLst/>
                    </a:prstGeom>
                    <a:noFill/>
                  </pic:spPr>
                </pic:pic>
              </a:graphicData>
            </a:graphic>
          </wp:inline>
        </w:drawing>
      </w:r>
    </w:p>
    <w:p w14:paraId="6AE1E4FB" w14:textId="6E8225C6" w:rsidR="00A30EDB" w:rsidRPr="00A17B6F" w:rsidRDefault="00A30EDB" w:rsidP="00880630">
      <w:pPr>
        <w:spacing w:after="120" w:line="240" w:lineRule="auto"/>
        <w:ind w:firstLine="357"/>
        <w:jc w:val="both"/>
        <w:rPr>
          <w:rFonts w:ascii="Arial" w:eastAsia="Times New Roman" w:hAnsi="Arial" w:cs="Times New Roman"/>
          <w:color w:val="FF0000"/>
          <w:sz w:val="24"/>
          <w:szCs w:val="24"/>
          <w:lang w:eastAsia="hr-HR"/>
        </w:rPr>
      </w:pPr>
      <w:r w:rsidRPr="00A17B6F">
        <w:rPr>
          <w:rFonts w:ascii="Arial" w:eastAsia="Times New Roman" w:hAnsi="Arial" w:cs="Times New Roman"/>
          <w:sz w:val="24"/>
          <w:szCs w:val="24"/>
          <w:lang w:eastAsia="hr-HR"/>
        </w:rPr>
        <w:t xml:space="preserve"> </w:t>
      </w:r>
      <w:r w:rsidR="00A83347" w:rsidRPr="00A17B6F">
        <w:rPr>
          <w:rFonts w:ascii="Arial" w:eastAsia="Times New Roman" w:hAnsi="Arial" w:cs="Times New Roman"/>
          <w:sz w:val="24"/>
          <w:szCs w:val="24"/>
          <w:lang w:eastAsia="hr-HR"/>
        </w:rPr>
        <w:t xml:space="preserve">U Grafikonu 5. je dana struktura </w:t>
      </w:r>
      <w:r w:rsidR="009F2C72" w:rsidRPr="00A17B6F">
        <w:rPr>
          <w:rFonts w:ascii="Arial" w:eastAsia="Times New Roman" w:hAnsi="Arial" w:cs="Times New Roman"/>
          <w:sz w:val="24"/>
          <w:szCs w:val="24"/>
          <w:lang w:eastAsia="hr-HR"/>
        </w:rPr>
        <w:t>ostvarenih</w:t>
      </w:r>
      <w:r w:rsidR="00A83347" w:rsidRPr="00A17B6F">
        <w:rPr>
          <w:rFonts w:ascii="Arial" w:eastAsia="Times New Roman" w:hAnsi="Arial" w:cs="Times New Roman"/>
          <w:sz w:val="24"/>
          <w:szCs w:val="24"/>
          <w:lang w:eastAsia="hr-HR"/>
        </w:rPr>
        <w:t xml:space="preserve"> rashoda i izdataka Proračuna u prvom polugodištu 202</w:t>
      </w:r>
      <w:r w:rsidR="009F2C72" w:rsidRPr="00A17B6F">
        <w:rPr>
          <w:rFonts w:ascii="Arial" w:eastAsia="Times New Roman" w:hAnsi="Arial" w:cs="Times New Roman"/>
          <w:sz w:val="24"/>
          <w:szCs w:val="24"/>
          <w:lang w:eastAsia="hr-HR"/>
        </w:rPr>
        <w:t>4</w:t>
      </w:r>
      <w:r w:rsidR="00A83347" w:rsidRPr="00A17B6F">
        <w:rPr>
          <w:rFonts w:ascii="Arial" w:eastAsia="Times New Roman" w:hAnsi="Arial" w:cs="Times New Roman"/>
          <w:sz w:val="24"/>
          <w:szCs w:val="24"/>
          <w:lang w:eastAsia="hr-HR"/>
        </w:rPr>
        <w:t xml:space="preserve">. godine iz koje je razvidno da najveći udjel imaju rashodi za zaposlene i materijalni rashodi koji zajedno čine </w:t>
      </w:r>
      <w:r w:rsidR="009F2C72" w:rsidRPr="00A17B6F">
        <w:rPr>
          <w:rFonts w:ascii="Arial" w:eastAsia="Times New Roman" w:hAnsi="Arial" w:cs="Times New Roman"/>
          <w:sz w:val="24"/>
          <w:szCs w:val="24"/>
          <w:lang w:eastAsia="hr-HR"/>
        </w:rPr>
        <w:t>89,9</w:t>
      </w:r>
      <w:r w:rsidR="00A83347" w:rsidRPr="00A17B6F">
        <w:rPr>
          <w:rFonts w:ascii="Arial" w:eastAsia="Times New Roman" w:hAnsi="Arial" w:cs="Times New Roman"/>
          <w:sz w:val="24"/>
          <w:szCs w:val="24"/>
          <w:lang w:eastAsia="hr-HR"/>
        </w:rPr>
        <w:t xml:space="preserve">% ukupno izvršenih rashoda. Sljedeći po visini udjela su rashodi </w:t>
      </w:r>
      <w:r w:rsidR="009F2C72" w:rsidRPr="00A17B6F">
        <w:rPr>
          <w:rFonts w:ascii="Arial" w:eastAsia="Times New Roman" w:hAnsi="Arial" w:cs="Times New Roman"/>
          <w:sz w:val="24"/>
          <w:szCs w:val="24"/>
          <w:lang w:eastAsia="hr-HR"/>
        </w:rPr>
        <w:t>za donacije i ostali rashodi</w:t>
      </w:r>
      <w:r w:rsidR="00E74FB5">
        <w:rPr>
          <w:rFonts w:ascii="Arial" w:eastAsia="Times New Roman" w:hAnsi="Arial" w:cs="Times New Roman"/>
          <w:sz w:val="24"/>
          <w:szCs w:val="24"/>
          <w:lang w:eastAsia="hr-HR"/>
        </w:rPr>
        <w:t xml:space="preserve"> (3,4%)</w:t>
      </w:r>
      <w:r w:rsidR="009F2C72" w:rsidRPr="00A17B6F">
        <w:rPr>
          <w:rFonts w:ascii="Arial" w:eastAsia="Times New Roman" w:hAnsi="Arial" w:cs="Times New Roman"/>
          <w:sz w:val="24"/>
          <w:szCs w:val="24"/>
          <w:lang w:eastAsia="hr-HR"/>
        </w:rPr>
        <w:t xml:space="preserve">, dok rashodi za </w:t>
      </w:r>
      <w:r w:rsidR="00A83347" w:rsidRPr="00A17B6F">
        <w:rPr>
          <w:rFonts w:ascii="Arial" w:eastAsia="Times New Roman" w:hAnsi="Arial" w:cs="Times New Roman"/>
          <w:sz w:val="24"/>
          <w:szCs w:val="24"/>
          <w:lang w:eastAsia="hr-HR"/>
        </w:rPr>
        <w:t xml:space="preserve">nabavu nefinancijske imovine čine </w:t>
      </w:r>
      <w:r w:rsidR="009F2C72" w:rsidRPr="00A17B6F">
        <w:rPr>
          <w:rFonts w:ascii="Arial" w:eastAsia="Times New Roman" w:hAnsi="Arial" w:cs="Times New Roman"/>
          <w:sz w:val="24"/>
          <w:szCs w:val="24"/>
          <w:lang w:eastAsia="hr-HR"/>
        </w:rPr>
        <w:t>1,3</w:t>
      </w:r>
      <w:r w:rsidR="00A83347" w:rsidRPr="00A17B6F">
        <w:rPr>
          <w:rFonts w:ascii="Arial" w:eastAsia="Times New Roman" w:hAnsi="Arial" w:cs="Times New Roman"/>
          <w:sz w:val="24"/>
          <w:szCs w:val="24"/>
          <w:lang w:eastAsia="hr-HR"/>
        </w:rPr>
        <w:t xml:space="preserve">% ukupno izvršenih rashoda i izdataka u izvještajnom razdoblju. </w:t>
      </w:r>
    </w:p>
    <w:p w14:paraId="5F8301F7" w14:textId="03A2C43B" w:rsidR="00087289" w:rsidRPr="00A17B6F" w:rsidRDefault="00087289" w:rsidP="00087289">
      <w:pPr>
        <w:numPr>
          <w:ilvl w:val="12"/>
          <w:numId w:val="0"/>
        </w:numPr>
        <w:spacing w:after="0" w:line="240" w:lineRule="auto"/>
        <w:ind w:left="1418" w:hanging="1418"/>
        <w:rPr>
          <w:rFonts w:ascii="Arial" w:eastAsia="Times New Roman" w:hAnsi="Arial" w:cs="Times New Roman"/>
          <w:sz w:val="24"/>
          <w:szCs w:val="24"/>
          <w:lang w:eastAsia="hr-HR"/>
        </w:rPr>
      </w:pPr>
      <w:r w:rsidRPr="00A17B6F">
        <w:rPr>
          <w:rFonts w:ascii="Arial" w:eastAsia="Times New Roman" w:hAnsi="Arial" w:cs="Arial"/>
          <w:b/>
          <w:sz w:val="23"/>
          <w:szCs w:val="23"/>
          <w:lang w:eastAsia="hr-HR"/>
        </w:rPr>
        <w:t xml:space="preserve">Grafikon </w:t>
      </w:r>
      <w:r w:rsidR="00A83347" w:rsidRPr="00A17B6F">
        <w:rPr>
          <w:rFonts w:ascii="Arial" w:eastAsia="Times New Roman" w:hAnsi="Arial" w:cs="Arial"/>
          <w:b/>
          <w:sz w:val="23"/>
          <w:szCs w:val="23"/>
          <w:lang w:eastAsia="hr-HR"/>
        </w:rPr>
        <w:t>5</w:t>
      </w:r>
      <w:r w:rsidRPr="00A17B6F">
        <w:rPr>
          <w:rFonts w:ascii="Arial" w:eastAsia="Times New Roman" w:hAnsi="Arial" w:cs="Arial"/>
          <w:b/>
          <w:sz w:val="23"/>
          <w:szCs w:val="23"/>
          <w:lang w:eastAsia="hr-HR"/>
        </w:rPr>
        <w:t xml:space="preserve">.: </w:t>
      </w:r>
      <w:r w:rsidR="00A85F4C" w:rsidRPr="00A17B6F">
        <w:rPr>
          <w:rFonts w:ascii="Arial" w:eastAsia="Times New Roman" w:hAnsi="Arial" w:cs="Times New Roman"/>
          <w:sz w:val="24"/>
          <w:szCs w:val="24"/>
          <w:lang w:eastAsia="hr-HR"/>
        </w:rPr>
        <w:t>Struktura izvršenih rashoda i izdataka Proračuna u prvom polugodištu 202</w:t>
      </w:r>
      <w:r w:rsidR="00E4215A" w:rsidRPr="00A17B6F">
        <w:rPr>
          <w:rFonts w:ascii="Arial" w:eastAsia="Times New Roman" w:hAnsi="Arial" w:cs="Times New Roman"/>
          <w:sz w:val="24"/>
          <w:szCs w:val="24"/>
          <w:lang w:eastAsia="hr-HR"/>
        </w:rPr>
        <w:t>4</w:t>
      </w:r>
      <w:r w:rsidR="00A85F4C" w:rsidRPr="00A17B6F">
        <w:rPr>
          <w:rFonts w:ascii="Arial" w:eastAsia="Times New Roman" w:hAnsi="Arial" w:cs="Times New Roman"/>
          <w:sz w:val="24"/>
          <w:szCs w:val="24"/>
          <w:lang w:eastAsia="hr-HR"/>
        </w:rPr>
        <w:t>. godine</w:t>
      </w:r>
    </w:p>
    <w:p w14:paraId="25298698" w14:textId="725C054C" w:rsidR="00E4215A" w:rsidRPr="00A17B6F" w:rsidRDefault="00E4215A" w:rsidP="00E4215A">
      <w:pPr>
        <w:numPr>
          <w:ilvl w:val="12"/>
          <w:numId w:val="0"/>
        </w:numPr>
        <w:spacing w:after="0" w:line="240" w:lineRule="auto"/>
        <w:ind w:left="1418" w:hanging="1418"/>
        <w:jc w:val="center"/>
        <w:rPr>
          <w:rFonts w:ascii="Arial" w:eastAsia="Times New Roman" w:hAnsi="Arial" w:cs="Times New Roman"/>
          <w:sz w:val="24"/>
          <w:szCs w:val="24"/>
          <w:lang w:eastAsia="hr-HR"/>
        </w:rPr>
      </w:pPr>
      <w:r w:rsidRPr="00A17B6F">
        <w:rPr>
          <w:rFonts w:ascii="Arial" w:eastAsia="Times New Roman" w:hAnsi="Arial" w:cs="Times New Roman"/>
          <w:noProof/>
          <w:sz w:val="24"/>
          <w:szCs w:val="24"/>
          <w:lang w:eastAsia="hr-HR"/>
        </w:rPr>
        <w:drawing>
          <wp:inline distT="0" distB="0" distL="0" distR="0" wp14:anchorId="46EA5C48" wp14:editId="6B4BD6CD">
            <wp:extent cx="5853829" cy="2872541"/>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8368" cy="2889490"/>
                    </a:xfrm>
                    <a:prstGeom prst="rect">
                      <a:avLst/>
                    </a:prstGeom>
                    <a:noFill/>
                  </pic:spPr>
                </pic:pic>
              </a:graphicData>
            </a:graphic>
          </wp:inline>
        </w:drawing>
      </w:r>
    </w:p>
    <w:p w14:paraId="788DCA3B" w14:textId="785EA4C0" w:rsidR="00087289" w:rsidRPr="00A17B6F" w:rsidRDefault="00DA17F5" w:rsidP="00087289">
      <w:pPr>
        <w:spacing w:after="0" w:line="240" w:lineRule="auto"/>
        <w:jc w:val="both"/>
        <w:rPr>
          <w:rFonts w:ascii="Arial" w:eastAsia="Times New Roman" w:hAnsi="Arial" w:cs="Times New Roman"/>
          <w:b/>
          <w:i/>
          <w:sz w:val="24"/>
          <w:szCs w:val="24"/>
          <w:u w:val="single"/>
          <w:lang w:eastAsia="hr-HR"/>
        </w:rPr>
      </w:pPr>
      <w:r w:rsidRPr="00A17B6F">
        <w:rPr>
          <w:rFonts w:ascii="Arial" w:eastAsia="Times New Roman" w:hAnsi="Arial" w:cs="Times New Roman"/>
          <w:b/>
          <w:i/>
          <w:sz w:val="24"/>
          <w:szCs w:val="24"/>
          <w:u w:val="single"/>
          <w:lang w:eastAsia="hr-HR"/>
        </w:rPr>
        <w:lastRenderedPageBreak/>
        <w:t xml:space="preserve">Rashodi </w:t>
      </w:r>
      <w:r w:rsidR="00087289" w:rsidRPr="00A17B6F">
        <w:rPr>
          <w:rFonts w:ascii="Arial" w:eastAsia="Times New Roman" w:hAnsi="Arial" w:cs="Times New Roman"/>
          <w:b/>
          <w:i/>
          <w:sz w:val="24"/>
          <w:szCs w:val="24"/>
          <w:u w:val="single"/>
          <w:lang w:eastAsia="hr-HR"/>
        </w:rPr>
        <w:t>prema funkcijskoj klasifikaciji</w:t>
      </w:r>
    </w:p>
    <w:p w14:paraId="729427CD" w14:textId="77777777" w:rsidR="00087289" w:rsidRPr="00A17B6F"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color w:val="FF0000"/>
          <w:sz w:val="24"/>
          <w:szCs w:val="20"/>
          <w:lang w:eastAsia="hr-HR"/>
        </w:rPr>
      </w:pPr>
    </w:p>
    <w:p w14:paraId="38C7D2BE" w14:textId="7BEB890F" w:rsidR="00087289" w:rsidRPr="00A17B6F" w:rsidRDefault="00963BC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A17B6F">
        <w:rPr>
          <w:rFonts w:ascii="Arial" w:eastAsia="Times New Roman" w:hAnsi="Arial" w:cs="Times New Roman"/>
          <w:bCs/>
          <w:sz w:val="24"/>
          <w:szCs w:val="20"/>
          <w:lang w:eastAsia="hr-HR"/>
        </w:rPr>
        <w:tab/>
        <w:t xml:space="preserve">Izvršenje rashoda (bez izdataka) </w:t>
      </w:r>
      <w:r w:rsidR="00087289" w:rsidRPr="00A17B6F">
        <w:rPr>
          <w:rFonts w:ascii="Arial" w:eastAsia="Times New Roman" w:hAnsi="Arial" w:cs="Times New Roman"/>
          <w:bCs/>
          <w:sz w:val="24"/>
          <w:szCs w:val="20"/>
          <w:lang w:eastAsia="hr-HR"/>
        </w:rPr>
        <w:t>u</w:t>
      </w:r>
      <w:r w:rsidR="001B4A3E" w:rsidRPr="00A17B6F">
        <w:rPr>
          <w:rFonts w:ascii="Arial" w:eastAsia="Times New Roman" w:hAnsi="Arial" w:cs="Times New Roman"/>
          <w:bCs/>
          <w:sz w:val="24"/>
          <w:szCs w:val="20"/>
          <w:lang w:eastAsia="hr-HR"/>
        </w:rPr>
        <w:t xml:space="preserve"> prvih šest mjeseci</w:t>
      </w:r>
      <w:r w:rsidR="00087289" w:rsidRPr="00A17B6F">
        <w:rPr>
          <w:rFonts w:ascii="Arial" w:eastAsia="Times New Roman" w:hAnsi="Arial" w:cs="Times New Roman"/>
          <w:bCs/>
          <w:sz w:val="24"/>
          <w:szCs w:val="20"/>
          <w:lang w:eastAsia="hr-HR"/>
        </w:rPr>
        <w:t xml:space="preserve"> 20</w:t>
      </w:r>
      <w:r w:rsidR="00965A21" w:rsidRPr="00A17B6F">
        <w:rPr>
          <w:rFonts w:ascii="Arial" w:eastAsia="Times New Roman" w:hAnsi="Arial" w:cs="Times New Roman"/>
          <w:bCs/>
          <w:sz w:val="24"/>
          <w:szCs w:val="20"/>
          <w:lang w:eastAsia="hr-HR"/>
        </w:rPr>
        <w:t>2</w:t>
      </w:r>
      <w:r w:rsidR="00E4215A" w:rsidRPr="00A17B6F">
        <w:rPr>
          <w:rFonts w:ascii="Arial" w:eastAsia="Times New Roman" w:hAnsi="Arial" w:cs="Times New Roman"/>
          <w:bCs/>
          <w:sz w:val="24"/>
          <w:szCs w:val="20"/>
          <w:lang w:eastAsia="hr-HR"/>
        </w:rPr>
        <w:t>4</w:t>
      </w:r>
      <w:r w:rsidR="00087289" w:rsidRPr="00A17B6F">
        <w:rPr>
          <w:rFonts w:ascii="Arial" w:eastAsia="Times New Roman" w:hAnsi="Arial" w:cs="Times New Roman"/>
          <w:bCs/>
          <w:sz w:val="24"/>
          <w:szCs w:val="20"/>
          <w:lang w:eastAsia="hr-HR"/>
        </w:rPr>
        <w:t>. godin</w:t>
      </w:r>
      <w:r w:rsidR="001B4A3E" w:rsidRPr="00A17B6F">
        <w:rPr>
          <w:rFonts w:ascii="Arial" w:eastAsia="Times New Roman" w:hAnsi="Arial" w:cs="Times New Roman"/>
          <w:bCs/>
          <w:sz w:val="24"/>
          <w:szCs w:val="20"/>
          <w:lang w:eastAsia="hr-HR"/>
        </w:rPr>
        <w:t>e</w:t>
      </w:r>
      <w:r w:rsidR="00087289" w:rsidRPr="00A17B6F">
        <w:rPr>
          <w:rFonts w:ascii="Arial" w:eastAsia="Times New Roman" w:hAnsi="Arial" w:cs="Times New Roman"/>
          <w:bCs/>
          <w:sz w:val="24"/>
          <w:szCs w:val="20"/>
          <w:lang w:eastAsia="hr-HR"/>
        </w:rPr>
        <w:t xml:space="preserve"> prema funkcijskoj klasifikaciji prikazano je u sljedećoj tablici. </w:t>
      </w:r>
    </w:p>
    <w:p w14:paraId="64EC92D2" w14:textId="77777777" w:rsidR="00087289" w:rsidRPr="00A17B6F"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color w:val="FF0000"/>
          <w:sz w:val="10"/>
          <w:szCs w:val="10"/>
          <w:lang w:eastAsia="hr-HR"/>
        </w:rPr>
      </w:pPr>
    </w:p>
    <w:p w14:paraId="22953002" w14:textId="15F60242" w:rsidR="008C48E4" w:rsidRPr="00A17B6F" w:rsidRDefault="00087289" w:rsidP="00503749">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r w:rsidRPr="00A17B6F">
        <w:rPr>
          <w:rFonts w:ascii="Arial" w:eastAsia="Times New Roman" w:hAnsi="Arial" w:cs="Arial"/>
          <w:b/>
          <w:sz w:val="24"/>
          <w:szCs w:val="24"/>
          <w:lang w:eastAsia="hr-HR"/>
        </w:rPr>
        <w:t xml:space="preserve">Tablica </w:t>
      </w:r>
      <w:r w:rsidR="009B506F" w:rsidRPr="00A17B6F">
        <w:rPr>
          <w:rFonts w:ascii="Arial" w:eastAsia="Times New Roman" w:hAnsi="Arial" w:cs="Arial"/>
          <w:b/>
          <w:sz w:val="24"/>
          <w:szCs w:val="24"/>
          <w:lang w:eastAsia="hr-HR"/>
        </w:rPr>
        <w:t>5</w:t>
      </w:r>
      <w:r w:rsidRPr="00A17B6F">
        <w:rPr>
          <w:rFonts w:ascii="Arial" w:eastAsia="Times New Roman" w:hAnsi="Arial" w:cs="Arial"/>
          <w:b/>
          <w:sz w:val="24"/>
          <w:szCs w:val="24"/>
          <w:lang w:eastAsia="hr-HR"/>
        </w:rPr>
        <w:t>.</w:t>
      </w:r>
      <w:r w:rsidR="00DA17F5" w:rsidRPr="00A17B6F">
        <w:rPr>
          <w:rFonts w:ascii="Arial" w:eastAsia="Times New Roman" w:hAnsi="Arial" w:cs="Arial"/>
          <w:sz w:val="24"/>
          <w:szCs w:val="24"/>
          <w:lang w:eastAsia="hr-HR"/>
        </w:rPr>
        <w:t xml:space="preserve">: Izvršenje </w:t>
      </w:r>
      <w:r w:rsidR="00B02752" w:rsidRPr="00A17B6F">
        <w:rPr>
          <w:rFonts w:ascii="Arial" w:eastAsia="Times New Roman" w:hAnsi="Arial" w:cs="Arial"/>
          <w:sz w:val="24"/>
          <w:szCs w:val="24"/>
          <w:lang w:eastAsia="hr-HR"/>
        </w:rPr>
        <w:t xml:space="preserve">konsolidiranih </w:t>
      </w:r>
      <w:r w:rsidR="00DA17F5" w:rsidRPr="00A17B6F">
        <w:rPr>
          <w:rFonts w:ascii="Arial" w:eastAsia="Times New Roman" w:hAnsi="Arial" w:cs="Arial"/>
          <w:sz w:val="24"/>
          <w:szCs w:val="24"/>
          <w:lang w:eastAsia="hr-HR"/>
        </w:rPr>
        <w:t xml:space="preserve">rashoda </w:t>
      </w:r>
      <w:r w:rsidR="00503749" w:rsidRPr="00A17B6F">
        <w:rPr>
          <w:rFonts w:ascii="Arial" w:eastAsia="Times New Roman" w:hAnsi="Arial" w:cs="Arial"/>
          <w:sz w:val="24"/>
          <w:szCs w:val="24"/>
          <w:lang w:eastAsia="hr-HR"/>
        </w:rPr>
        <w:t xml:space="preserve">proračuna PGŽ </w:t>
      </w:r>
      <w:r w:rsidR="009B506F" w:rsidRPr="00A17B6F">
        <w:rPr>
          <w:rFonts w:ascii="Arial" w:eastAsia="Times New Roman" w:hAnsi="Arial" w:cs="Arial"/>
          <w:sz w:val="24"/>
          <w:szCs w:val="24"/>
          <w:lang w:eastAsia="hr-HR"/>
        </w:rPr>
        <w:t>u prvoj polovici 202</w:t>
      </w:r>
      <w:r w:rsidR="00E4215A" w:rsidRPr="00A17B6F">
        <w:rPr>
          <w:rFonts w:ascii="Arial" w:eastAsia="Times New Roman" w:hAnsi="Arial" w:cs="Arial"/>
          <w:sz w:val="24"/>
          <w:szCs w:val="24"/>
          <w:lang w:eastAsia="hr-HR"/>
        </w:rPr>
        <w:t>4</w:t>
      </w:r>
      <w:r w:rsidR="009B506F" w:rsidRPr="00A17B6F">
        <w:rPr>
          <w:rFonts w:ascii="Arial" w:eastAsia="Times New Roman" w:hAnsi="Arial" w:cs="Arial"/>
          <w:sz w:val="24"/>
          <w:szCs w:val="24"/>
          <w:lang w:eastAsia="hr-HR"/>
        </w:rPr>
        <w:t>. godine</w:t>
      </w:r>
      <w:r w:rsidR="009B506F" w:rsidRPr="00A17B6F">
        <w:rPr>
          <w:rFonts w:ascii="Times New Roman" w:eastAsia="Times New Roman" w:hAnsi="Times New Roman" w:cs="Arial"/>
          <w:sz w:val="24"/>
          <w:szCs w:val="24"/>
          <w:lang w:eastAsia="hr-HR"/>
        </w:rPr>
        <w:t xml:space="preserve"> </w:t>
      </w:r>
      <w:r w:rsidRPr="00A17B6F">
        <w:rPr>
          <w:rFonts w:ascii="Arial" w:eastAsia="Times New Roman" w:hAnsi="Arial" w:cs="Arial"/>
          <w:sz w:val="24"/>
          <w:szCs w:val="24"/>
          <w:lang w:eastAsia="hr-HR"/>
        </w:rPr>
        <w:t xml:space="preserve">prema funkcijskoj klasifikaciji </w:t>
      </w:r>
    </w:p>
    <w:p w14:paraId="381E16F3" w14:textId="32CC2269" w:rsidR="009E3414" w:rsidRPr="00A17B6F" w:rsidRDefault="009E3414" w:rsidP="009E3414">
      <w:pPr>
        <w:pStyle w:val="ListParagraph"/>
        <w:overflowPunct w:val="0"/>
        <w:autoSpaceDE w:val="0"/>
        <w:autoSpaceDN w:val="0"/>
        <w:adjustRightInd w:val="0"/>
        <w:ind w:left="8565"/>
        <w:jc w:val="both"/>
        <w:textAlignment w:val="baseline"/>
        <w:rPr>
          <w:rFonts w:ascii="Arial" w:hAnsi="Arial" w:cs="Arial"/>
          <w:sz w:val="16"/>
          <w:szCs w:val="16"/>
        </w:rPr>
      </w:pPr>
      <w:r w:rsidRPr="00A17B6F">
        <w:rPr>
          <w:rFonts w:ascii="Arial" w:hAnsi="Arial" w:cs="Arial"/>
          <w:sz w:val="16"/>
          <w:szCs w:val="16"/>
        </w:rPr>
        <w:t>-</w:t>
      </w:r>
      <w:r w:rsidR="00BC1CA7">
        <w:rPr>
          <w:rFonts w:ascii="Arial" w:hAnsi="Arial" w:cs="Arial"/>
          <w:sz w:val="16"/>
          <w:szCs w:val="16"/>
        </w:rPr>
        <w:t>u</w:t>
      </w:r>
      <w:r w:rsidRPr="00A17B6F">
        <w:rPr>
          <w:rFonts w:ascii="Arial" w:hAnsi="Arial" w:cs="Arial"/>
          <w:sz w:val="16"/>
          <w:szCs w:val="16"/>
        </w:rPr>
        <w:t xml:space="preserve"> eurima</w:t>
      </w:r>
    </w:p>
    <w:p w14:paraId="19C1677C" w14:textId="0F367B1F" w:rsidR="00E4215A" w:rsidRPr="00A17B6F" w:rsidRDefault="00E4215A" w:rsidP="00503749">
      <w:pPr>
        <w:overflowPunct w:val="0"/>
        <w:autoSpaceDE w:val="0"/>
        <w:autoSpaceDN w:val="0"/>
        <w:adjustRightInd w:val="0"/>
        <w:spacing w:after="0" w:line="240" w:lineRule="auto"/>
        <w:ind w:left="1276" w:hanging="1276"/>
        <w:jc w:val="both"/>
        <w:textAlignment w:val="baseline"/>
        <w:rPr>
          <w:rFonts w:ascii="Arial" w:eastAsia="Times New Roman" w:hAnsi="Arial" w:cs="Arial"/>
          <w:sz w:val="10"/>
          <w:szCs w:val="10"/>
          <w:lang w:eastAsia="hr-HR"/>
        </w:rPr>
      </w:pPr>
    </w:p>
    <w:tbl>
      <w:tblPr>
        <w:tblW w:w="11078" w:type="dxa"/>
        <w:tblInd w:w="-709" w:type="dxa"/>
        <w:tblLook w:val="04A0" w:firstRow="1" w:lastRow="0" w:firstColumn="1" w:lastColumn="0" w:noHBand="0" w:noVBand="1"/>
      </w:tblPr>
      <w:tblGrid>
        <w:gridCol w:w="2127"/>
        <w:gridCol w:w="1507"/>
        <w:gridCol w:w="1363"/>
        <w:gridCol w:w="1363"/>
        <w:gridCol w:w="1295"/>
        <w:gridCol w:w="881"/>
        <w:gridCol w:w="1271"/>
        <w:gridCol w:w="1271"/>
      </w:tblGrid>
      <w:tr w:rsidR="009E3414" w:rsidRPr="00A17B6F" w14:paraId="091DF4A9" w14:textId="77777777" w:rsidTr="00BD5A00">
        <w:trPr>
          <w:trHeight w:val="1290"/>
        </w:trPr>
        <w:tc>
          <w:tcPr>
            <w:tcW w:w="2127" w:type="dxa"/>
            <w:tcBorders>
              <w:top w:val="single" w:sz="8" w:space="0" w:color="auto"/>
              <w:left w:val="nil"/>
              <w:bottom w:val="single" w:sz="8" w:space="0" w:color="auto"/>
              <w:right w:val="nil"/>
            </w:tcBorders>
            <w:shd w:val="clear" w:color="auto" w:fill="auto"/>
            <w:vAlign w:val="center"/>
            <w:hideMark/>
          </w:tcPr>
          <w:p w14:paraId="42966483" w14:textId="77777777" w:rsidR="009E3414" w:rsidRPr="00A17B6F" w:rsidRDefault="009E3414" w:rsidP="009E3414">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Funkcija</w:t>
            </w:r>
          </w:p>
        </w:tc>
        <w:tc>
          <w:tcPr>
            <w:tcW w:w="1507" w:type="dxa"/>
            <w:tcBorders>
              <w:top w:val="single" w:sz="8" w:space="0" w:color="auto"/>
              <w:left w:val="nil"/>
              <w:bottom w:val="single" w:sz="8" w:space="0" w:color="auto"/>
              <w:right w:val="nil"/>
            </w:tcBorders>
            <w:shd w:val="clear" w:color="auto" w:fill="auto"/>
            <w:vAlign w:val="center"/>
            <w:hideMark/>
          </w:tcPr>
          <w:p w14:paraId="1E9AC28B" w14:textId="23076285" w:rsidR="009E3414" w:rsidRPr="00A17B6F" w:rsidRDefault="009E3414" w:rsidP="009F2C72">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Izvršenje </w:t>
            </w:r>
            <w:r w:rsidRPr="00A17B6F">
              <w:rPr>
                <w:rFonts w:ascii="Calibri" w:eastAsia="Times New Roman" w:hAnsi="Calibri" w:cs="Calibri"/>
                <w:b/>
                <w:bCs/>
                <w:color w:val="000000"/>
                <w:sz w:val="18"/>
                <w:szCs w:val="18"/>
                <w:lang w:eastAsia="hr-HR"/>
              </w:rPr>
              <w:br/>
              <w:t>1.-6.202</w:t>
            </w:r>
            <w:r w:rsidR="009F2C72" w:rsidRPr="00A17B6F">
              <w:rPr>
                <w:rFonts w:ascii="Calibri" w:eastAsia="Times New Roman" w:hAnsi="Calibri" w:cs="Calibri"/>
                <w:b/>
                <w:bCs/>
                <w:color w:val="000000"/>
                <w:sz w:val="18"/>
                <w:szCs w:val="18"/>
                <w:lang w:eastAsia="hr-HR"/>
              </w:rPr>
              <w:t>3</w:t>
            </w:r>
            <w:r w:rsidRPr="00A17B6F">
              <w:rPr>
                <w:rFonts w:ascii="Calibri" w:eastAsia="Times New Roman" w:hAnsi="Calibri" w:cs="Calibri"/>
                <w:b/>
                <w:bCs/>
                <w:color w:val="000000"/>
                <w:sz w:val="18"/>
                <w:szCs w:val="18"/>
                <w:lang w:eastAsia="hr-HR"/>
              </w:rPr>
              <w:t>.</w:t>
            </w:r>
          </w:p>
        </w:tc>
        <w:tc>
          <w:tcPr>
            <w:tcW w:w="1363" w:type="dxa"/>
            <w:tcBorders>
              <w:top w:val="single" w:sz="8" w:space="0" w:color="auto"/>
              <w:left w:val="nil"/>
              <w:bottom w:val="single" w:sz="8" w:space="0" w:color="auto"/>
              <w:right w:val="nil"/>
            </w:tcBorders>
            <w:shd w:val="clear" w:color="auto" w:fill="auto"/>
            <w:vAlign w:val="center"/>
            <w:hideMark/>
          </w:tcPr>
          <w:p w14:paraId="322616E1" w14:textId="631129E3" w:rsidR="009E3414" w:rsidRPr="00A17B6F" w:rsidRDefault="009E3414" w:rsidP="009F2C72">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Tekući plan </w:t>
            </w:r>
            <w:r w:rsidRPr="00A17B6F">
              <w:rPr>
                <w:rFonts w:ascii="Calibri" w:eastAsia="Times New Roman" w:hAnsi="Calibri" w:cs="Calibri"/>
                <w:b/>
                <w:bCs/>
                <w:color w:val="000000"/>
                <w:sz w:val="18"/>
                <w:szCs w:val="18"/>
                <w:lang w:eastAsia="hr-HR"/>
              </w:rPr>
              <w:br/>
              <w:t>202</w:t>
            </w:r>
            <w:r w:rsidR="009F2C72" w:rsidRPr="00A17B6F">
              <w:rPr>
                <w:rFonts w:ascii="Calibri" w:eastAsia="Times New Roman" w:hAnsi="Calibri" w:cs="Calibri"/>
                <w:b/>
                <w:bCs/>
                <w:color w:val="000000"/>
                <w:sz w:val="18"/>
                <w:szCs w:val="18"/>
                <w:lang w:eastAsia="hr-HR"/>
              </w:rPr>
              <w:t>4</w:t>
            </w:r>
            <w:r w:rsidRPr="00A17B6F">
              <w:rPr>
                <w:rFonts w:ascii="Calibri" w:eastAsia="Times New Roman" w:hAnsi="Calibri" w:cs="Calibri"/>
                <w:b/>
                <w:bCs/>
                <w:color w:val="000000"/>
                <w:sz w:val="18"/>
                <w:szCs w:val="18"/>
                <w:lang w:eastAsia="hr-HR"/>
              </w:rPr>
              <w:t>.</w:t>
            </w:r>
          </w:p>
        </w:tc>
        <w:tc>
          <w:tcPr>
            <w:tcW w:w="1363" w:type="dxa"/>
            <w:tcBorders>
              <w:top w:val="single" w:sz="8" w:space="0" w:color="auto"/>
              <w:left w:val="nil"/>
              <w:bottom w:val="single" w:sz="8" w:space="0" w:color="auto"/>
              <w:right w:val="nil"/>
            </w:tcBorders>
            <w:shd w:val="clear" w:color="auto" w:fill="auto"/>
            <w:vAlign w:val="center"/>
            <w:hideMark/>
          </w:tcPr>
          <w:p w14:paraId="7A487B0B" w14:textId="7C978492" w:rsidR="009E3414" w:rsidRPr="00A17B6F" w:rsidRDefault="009E3414" w:rsidP="009F2C72">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Izvršenje</w:t>
            </w:r>
            <w:r w:rsidRPr="00A17B6F">
              <w:rPr>
                <w:rFonts w:ascii="Calibri" w:eastAsia="Times New Roman" w:hAnsi="Calibri" w:cs="Calibri"/>
                <w:b/>
                <w:bCs/>
                <w:color w:val="000000"/>
                <w:sz w:val="18"/>
                <w:szCs w:val="18"/>
                <w:lang w:eastAsia="hr-HR"/>
              </w:rPr>
              <w:br/>
              <w:t>1.-6.202</w:t>
            </w:r>
            <w:r w:rsidR="009F2C72" w:rsidRPr="00A17B6F">
              <w:rPr>
                <w:rFonts w:ascii="Calibri" w:eastAsia="Times New Roman" w:hAnsi="Calibri" w:cs="Calibri"/>
                <w:b/>
                <w:bCs/>
                <w:color w:val="000000"/>
                <w:sz w:val="18"/>
                <w:szCs w:val="18"/>
                <w:lang w:eastAsia="hr-HR"/>
              </w:rPr>
              <w:t>4</w:t>
            </w:r>
            <w:r w:rsidRPr="00A17B6F">
              <w:rPr>
                <w:rFonts w:ascii="Calibri" w:eastAsia="Times New Roman" w:hAnsi="Calibri" w:cs="Calibri"/>
                <w:b/>
                <w:bCs/>
                <w:color w:val="000000"/>
                <w:sz w:val="18"/>
                <w:szCs w:val="18"/>
                <w:lang w:eastAsia="hr-HR"/>
              </w:rPr>
              <w:t>.</w:t>
            </w:r>
          </w:p>
        </w:tc>
        <w:tc>
          <w:tcPr>
            <w:tcW w:w="1295" w:type="dxa"/>
            <w:tcBorders>
              <w:top w:val="single" w:sz="8" w:space="0" w:color="auto"/>
              <w:left w:val="nil"/>
              <w:bottom w:val="single" w:sz="8" w:space="0" w:color="auto"/>
              <w:right w:val="nil"/>
            </w:tcBorders>
            <w:shd w:val="clear" w:color="auto" w:fill="auto"/>
            <w:vAlign w:val="center"/>
            <w:hideMark/>
          </w:tcPr>
          <w:p w14:paraId="49A555DF" w14:textId="6265C152" w:rsidR="009E3414" w:rsidRPr="00BC1CA7" w:rsidRDefault="009E3414" w:rsidP="009F2C72">
            <w:pPr>
              <w:spacing w:after="0" w:line="240" w:lineRule="auto"/>
              <w:jc w:val="center"/>
              <w:rPr>
                <w:rFonts w:ascii="Calibri" w:eastAsia="Times New Roman" w:hAnsi="Calibri" w:cs="Calibri"/>
                <w:b/>
                <w:bCs/>
                <w:color w:val="000000"/>
                <w:sz w:val="16"/>
                <w:szCs w:val="16"/>
                <w:lang w:eastAsia="hr-HR"/>
              </w:rPr>
            </w:pPr>
            <w:r w:rsidRPr="00BC1CA7">
              <w:rPr>
                <w:rFonts w:ascii="Calibri" w:eastAsia="Times New Roman" w:hAnsi="Calibri" w:cs="Calibri"/>
                <w:b/>
                <w:bCs/>
                <w:color w:val="000000"/>
                <w:sz w:val="16"/>
                <w:szCs w:val="16"/>
                <w:lang w:eastAsia="hr-HR"/>
              </w:rPr>
              <w:t xml:space="preserve">Indeks Izvršenje </w:t>
            </w:r>
            <w:r w:rsidRPr="00BC1CA7">
              <w:rPr>
                <w:rFonts w:ascii="Calibri" w:eastAsia="Times New Roman" w:hAnsi="Calibri" w:cs="Calibri"/>
                <w:b/>
                <w:bCs/>
                <w:color w:val="000000"/>
                <w:sz w:val="16"/>
                <w:szCs w:val="16"/>
                <w:lang w:eastAsia="hr-HR"/>
              </w:rPr>
              <w:br/>
              <w:t>1.-6.202</w:t>
            </w:r>
            <w:r w:rsidR="009F2C72" w:rsidRPr="00BC1CA7">
              <w:rPr>
                <w:rFonts w:ascii="Calibri" w:eastAsia="Times New Roman" w:hAnsi="Calibri" w:cs="Calibri"/>
                <w:b/>
                <w:bCs/>
                <w:color w:val="000000"/>
                <w:sz w:val="16"/>
                <w:szCs w:val="16"/>
                <w:lang w:eastAsia="hr-HR"/>
              </w:rPr>
              <w:t>4</w:t>
            </w:r>
            <w:r w:rsidRPr="00BC1CA7">
              <w:rPr>
                <w:rFonts w:ascii="Calibri" w:eastAsia="Times New Roman" w:hAnsi="Calibri" w:cs="Calibri"/>
                <w:b/>
                <w:bCs/>
                <w:color w:val="000000"/>
                <w:sz w:val="16"/>
                <w:szCs w:val="16"/>
                <w:lang w:eastAsia="hr-HR"/>
              </w:rPr>
              <w:t xml:space="preserve"> / Izvršenje </w:t>
            </w:r>
            <w:r w:rsidRPr="00BC1CA7">
              <w:rPr>
                <w:rFonts w:ascii="Calibri" w:eastAsia="Times New Roman" w:hAnsi="Calibri" w:cs="Calibri"/>
                <w:b/>
                <w:bCs/>
                <w:color w:val="000000"/>
                <w:sz w:val="16"/>
                <w:szCs w:val="16"/>
                <w:lang w:eastAsia="hr-HR"/>
              </w:rPr>
              <w:br/>
              <w:t>1.-6.202</w:t>
            </w:r>
            <w:r w:rsidR="009F2C72" w:rsidRPr="00BC1CA7">
              <w:rPr>
                <w:rFonts w:ascii="Calibri" w:eastAsia="Times New Roman" w:hAnsi="Calibri" w:cs="Calibri"/>
                <w:b/>
                <w:bCs/>
                <w:color w:val="000000"/>
                <w:sz w:val="16"/>
                <w:szCs w:val="16"/>
                <w:lang w:eastAsia="hr-HR"/>
              </w:rPr>
              <w:t>3</w:t>
            </w:r>
          </w:p>
        </w:tc>
        <w:tc>
          <w:tcPr>
            <w:tcW w:w="881" w:type="dxa"/>
            <w:tcBorders>
              <w:top w:val="single" w:sz="8" w:space="0" w:color="auto"/>
              <w:left w:val="nil"/>
              <w:bottom w:val="single" w:sz="8" w:space="0" w:color="auto"/>
              <w:right w:val="nil"/>
            </w:tcBorders>
            <w:shd w:val="clear" w:color="auto" w:fill="auto"/>
            <w:vAlign w:val="center"/>
            <w:hideMark/>
          </w:tcPr>
          <w:p w14:paraId="66DC3609" w14:textId="4E8DD4E7" w:rsidR="009E3414" w:rsidRPr="00BC1CA7" w:rsidRDefault="009E3414" w:rsidP="009F2C72">
            <w:pPr>
              <w:spacing w:after="0" w:line="240" w:lineRule="auto"/>
              <w:jc w:val="center"/>
              <w:rPr>
                <w:rFonts w:ascii="Calibri" w:eastAsia="Times New Roman" w:hAnsi="Calibri" w:cs="Calibri"/>
                <w:b/>
                <w:bCs/>
                <w:color w:val="000000"/>
                <w:sz w:val="16"/>
                <w:szCs w:val="16"/>
                <w:lang w:eastAsia="hr-HR"/>
              </w:rPr>
            </w:pPr>
            <w:r w:rsidRPr="00BC1CA7">
              <w:rPr>
                <w:rFonts w:ascii="Calibri" w:eastAsia="Times New Roman" w:hAnsi="Calibri" w:cs="Calibri"/>
                <w:b/>
                <w:bCs/>
                <w:color w:val="000000"/>
                <w:sz w:val="16"/>
                <w:szCs w:val="16"/>
                <w:lang w:eastAsia="hr-HR"/>
              </w:rPr>
              <w:t xml:space="preserve">Indeks Izvršenje </w:t>
            </w:r>
            <w:r w:rsidRPr="00BC1CA7">
              <w:rPr>
                <w:rFonts w:ascii="Calibri" w:eastAsia="Times New Roman" w:hAnsi="Calibri" w:cs="Calibri"/>
                <w:b/>
                <w:bCs/>
                <w:color w:val="000000"/>
                <w:sz w:val="16"/>
                <w:szCs w:val="16"/>
                <w:lang w:eastAsia="hr-HR"/>
              </w:rPr>
              <w:br/>
              <w:t>1.-6.202</w:t>
            </w:r>
            <w:r w:rsidR="009F2C72" w:rsidRPr="00BC1CA7">
              <w:rPr>
                <w:rFonts w:ascii="Calibri" w:eastAsia="Times New Roman" w:hAnsi="Calibri" w:cs="Calibri"/>
                <w:b/>
                <w:bCs/>
                <w:color w:val="000000"/>
                <w:sz w:val="16"/>
                <w:szCs w:val="16"/>
                <w:lang w:eastAsia="hr-HR"/>
              </w:rPr>
              <w:t>4</w:t>
            </w:r>
            <w:r w:rsidRPr="00BC1CA7">
              <w:rPr>
                <w:rFonts w:ascii="Calibri" w:eastAsia="Times New Roman" w:hAnsi="Calibri" w:cs="Calibri"/>
                <w:b/>
                <w:bCs/>
                <w:color w:val="000000"/>
                <w:sz w:val="16"/>
                <w:szCs w:val="16"/>
                <w:lang w:eastAsia="hr-HR"/>
              </w:rPr>
              <w:t xml:space="preserve"> / Tekući plan 202</w:t>
            </w:r>
            <w:r w:rsidR="009F2C72" w:rsidRPr="00BC1CA7">
              <w:rPr>
                <w:rFonts w:ascii="Calibri" w:eastAsia="Times New Roman" w:hAnsi="Calibri" w:cs="Calibri"/>
                <w:b/>
                <w:bCs/>
                <w:color w:val="000000"/>
                <w:sz w:val="16"/>
                <w:szCs w:val="16"/>
                <w:lang w:eastAsia="hr-HR"/>
              </w:rPr>
              <w:t>4</w:t>
            </w:r>
          </w:p>
        </w:tc>
        <w:tc>
          <w:tcPr>
            <w:tcW w:w="1271" w:type="dxa"/>
            <w:tcBorders>
              <w:top w:val="single" w:sz="8" w:space="0" w:color="auto"/>
              <w:left w:val="nil"/>
              <w:bottom w:val="single" w:sz="8" w:space="0" w:color="auto"/>
              <w:right w:val="nil"/>
            </w:tcBorders>
            <w:shd w:val="clear" w:color="auto" w:fill="auto"/>
            <w:vAlign w:val="center"/>
            <w:hideMark/>
          </w:tcPr>
          <w:p w14:paraId="2911D1EF" w14:textId="77777777" w:rsidR="009E3414" w:rsidRPr="00A17B6F" w:rsidRDefault="009E3414" w:rsidP="009E3414">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Županijski rashodi</w:t>
            </w:r>
          </w:p>
        </w:tc>
        <w:tc>
          <w:tcPr>
            <w:tcW w:w="1271" w:type="dxa"/>
            <w:tcBorders>
              <w:top w:val="single" w:sz="8" w:space="0" w:color="auto"/>
              <w:left w:val="nil"/>
              <w:bottom w:val="single" w:sz="8" w:space="0" w:color="auto"/>
              <w:right w:val="nil"/>
            </w:tcBorders>
            <w:shd w:val="clear" w:color="auto" w:fill="auto"/>
            <w:vAlign w:val="center"/>
            <w:hideMark/>
          </w:tcPr>
          <w:p w14:paraId="2BAF8F6C" w14:textId="77777777" w:rsidR="009E3414" w:rsidRPr="00A17B6F" w:rsidRDefault="009E3414" w:rsidP="009E3414">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Rashodi županijskih korisnika</w:t>
            </w:r>
          </w:p>
        </w:tc>
      </w:tr>
      <w:tr w:rsidR="009E3414" w:rsidRPr="00A17B6F" w14:paraId="662B4BD5" w14:textId="77777777" w:rsidTr="00BD5A00">
        <w:trPr>
          <w:trHeight w:val="270"/>
        </w:trPr>
        <w:tc>
          <w:tcPr>
            <w:tcW w:w="2127" w:type="dxa"/>
            <w:tcBorders>
              <w:top w:val="nil"/>
              <w:left w:val="nil"/>
              <w:bottom w:val="single" w:sz="8" w:space="0" w:color="auto"/>
              <w:right w:val="nil"/>
            </w:tcBorders>
            <w:shd w:val="clear" w:color="auto" w:fill="auto"/>
            <w:noWrap/>
            <w:vAlign w:val="bottom"/>
            <w:hideMark/>
          </w:tcPr>
          <w:p w14:paraId="5D3FA360"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1</w:t>
            </w:r>
          </w:p>
        </w:tc>
        <w:tc>
          <w:tcPr>
            <w:tcW w:w="1507" w:type="dxa"/>
            <w:tcBorders>
              <w:top w:val="nil"/>
              <w:left w:val="nil"/>
              <w:bottom w:val="single" w:sz="8" w:space="0" w:color="auto"/>
              <w:right w:val="nil"/>
            </w:tcBorders>
            <w:shd w:val="clear" w:color="auto" w:fill="auto"/>
            <w:noWrap/>
            <w:vAlign w:val="bottom"/>
            <w:hideMark/>
          </w:tcPr>
          <w:p w14:paraId="6D6B8B9D"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2</w:t>
            </w:r>
          </w:p>
        </w:tc>
        <w:tc>
          <w:tcPr>
            <w:tcW w:w="1363" w:type="dxa"/>
            <w:tcBorders>
              <w:top w:val="nil"/>
              <w:left w:val="nil"/>
              <w:bottom w:val="single" w:sz="8" w:space="0" w:color="auto"/>
              <w:right w:val="nil"/>
            </w:tcBorders>
            <w:shd w:val="clear" w:color="auto" w:fill="auto"/>
            <w:noWrap/>
            <w:vAlign w:val="bottom"/>
            <w:hideMark/>
          </w:tcPr>
          <w:p w14:paraId="51D7FBE6"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3</w:t>
            </w:r>
          </w:p>
        </w:tc>
        <w:tc>
          <w:tcPr>
            <w:tcW w:w="1363" w:type="dxa"/>
            <w:tcBorders>
              <w:top w:val="nil"/>
              <w:left w:val="nil"/>
              <w:bottom w:val="single" w:sz="8" w:space="0" w:color="auto"/>
              <w:right w:val="nil"/>
            </w:tcBorders>
            <w:shd w:val="clear" w:color="auto" w:fill="auto"/>
            <w:noWrap/>
            <w:vAlign w:val="bottom"/>
            <w:hideMark/>
          </w:tcPr>
          <w:p w14:paraId="65E775C0"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4</w:t>
            </w:r>
          </w:p>
        </w:tc>
        <w:tc>
          <w:tcPr>
            <w:tcW w:w="1295" w:type="dxa"/>
            <w:tcBorders>
              <w:top w:val="nil"/>
              <w:left w:val="nil"/>
              <w:bottom w:val="single" w:sz="8" w:space="0" w:color="auto"/>
              <w:right w:val="nil"/>
            </w:tcBorders>
            <w:shd w:val="clear" w:color="auto" w:fill="auto"/>
            <w:noWrap/>
            <w:vAlign w:val="bottom"/>
            <w:hideMark/>
          </w:tcPr>
          <w:p w14:paraId="7B9D46B9"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5(4/2)</w:t>
            </w:r>
          </w:p>
        </w:tc>
        <w:tc>
          <w:tcPr>
            <w:tcW w:w="881" w:type="dxa"/>
            <w:tcBorders>
              <w:top w:val="nil"/>
              <w:left w:val="nil"/>
              <w:bottom w:val="single" w:sz="8" w:space="0" w:color="auto"/>
              <w:right w:val="nil"/>
            </w:tcBorders>
            <w:shd w:val="clear" w:color="auto" w:fill="auto"/>
            <w:noWrap/>
            <w:vAlign w:val="bottom"/>
            <w:hideMark/>
          </w:tcPr>
          <w:p w14:paraId="5BAF30B3"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6(4/3)</w:t>
            </w:r>
          </w:p>
        </w:tc>
        <w:tc>
          <w:tcPr>
            <w:tcW w:w="1271" w:type="dxa"/>
            <w:tcBorders>
              <w:top w:val="nil"/>
              <w:left w:val="nil"/>
              <w:bottom w:val="single" w:sz="8" w:space="0" w:color="auto"/>
              <w:right w:val="nil"/>
            </w:tcBorders>
            <w:shd w:val="clear" w:color="auto" w:fill="auto"/>
            <w:noWrap/>
            <w:vAlign w:val="bottom"/>
            <w:hideMark/>
          </w:tcPr>
          <w:p w14:paraId="6AEC28DA"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7</w:t>
            </w:r>
          </w:p>
        </w:tc>
        <w:tc>
          <w:tcPr>
            <w:tcW w:w="1271" w:type="dxa"/>
            <w:tcBorders>
              <w:top w:val="nil"/>
              <w:left w:val="nil"/>
              <w:bottom w:val="single" w:sz="8" w:space="0" w:color="auto"/>
              <w:right w:val="nil"/>
            </w:tcBorders>
            <w:shd w:val="clear" w:color="auto" w:fill="auto"/>
            <w:noWrap/>
            <w:vAlign w:val="bottom"/>
            <w:hideMark/>
          </w:tcPr>
          <w:p w14:paraId="00E82DA2"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8</w:t>
            </w:r>
          </w:p>
        </w:tc>
      </w:tr>
      <w:tr w:rsidR="009E3414" w:rsidRPr="00A17B6F" w14:paraId="496E1209" w14:textId="77777777" w:rsidTr="00BD5A00">
        <w:trPr>
          <w:trHeight w:val="300"/>
        </w:trPr>
        <w:tc>
          <w:tcPr>
            <w:tcW w:w="2127" w:type="dxa"/>
            <w:tcBorders>
              <w:top w:val="nil"/>
              <w:left w:val="nil"/>
              <w:bottom w:val="nil"/>
              <w:right w:val="nil"/>
            </w:tcBorders>
            <w:shd w:val="clear" w:color="auto" w:fill="auto"/>
            <w:noWrap/>
            <w:vAlign w:val="bottom"/>
            <w:hideMark/>
          </w:tcPr>
          <w:p w14:paraId="26091C20"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01 OPĆE JAVNE USLUGE</w:t>
            </w:r>
          </w:p>
        </w:tc>
        <w:tc>
          <w:tcPr>
            <w:tcW w:w="1507" w:type="dxa"/>
            <w:tcBorders>
              <w:top w:val="nil"/>
              <w:left w:val="nil"/>
              <w:bottom w:val="nil"/>
              <w:right w:val="nil"/>
            </w:tcBorders>
            <w:shd w:val="clear" w:color="auto" w:fill="auto"/>
            <w:noWrap/>
            <w:vAlign w:val="bottom"/>
            <w:hideMark/>
          </w:tcPr>
          <w:p w14:paraId="4688AC3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6.591.284,72</w:t>
            </w:r>
          </w:p>
        </w:tc>
        <w:tc>
          <w:tcPr>
            <w:tcW w:w="1363" w:type="dxa"/>
            <w:tcBorders>
              <w:top w:val="nil"/>
              <w:left w:val="nil"/>
              <w:bottom w:val="nil"/>
              <w:right w:val="nil"/>
            </w:tcBorders>
            <w:shd w:val="clear" w:color="auto" w:fill="auto"/>
            <w:noWrap/>
            <w:vAlign w:val="bottom"/>
            <w:hideMark/>
          </w:tcPr>
          <w:p w14:paraId="0443F42E"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18.977.943,30</w:t>
            </w:r>
          </w:p>
        </w:tc>
        <w:tc>
          <w:tcPr>
            <w:tcW w:w="1363" w:type="dxa"/>
            <w:tcBorders>
              <w:top w:val="nil"/>
              <w:left w:val="nil"/>
              <w:bottom w:val="nil"/>
              <w:right w:val="nil"/>
            </w:tcBorders>
            <w:shd w:val="clear" w:color="auto" w:fill="auto"/>
            <w:noWrap/>
            <w:vAlign w:val="bottom"/>
            <w:hideMark/>
          </w:tcPr>
          <w:p w14:paraId="3DFB4AA6"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7.433.287,23</w:t>
            </w:r>
          </w:p>
        </w:tc>
        <w:tc>
          <w:tcPr>
            <w:tcW w:w="1295" w:type="dxa"/>
            <w:tcBorders>
              <w:top w:val="nil"/>
              <w:left w:val="nil"/>
              <w:bottom w:val="nil"/>
              <w:right w:val="nil"/>
            </w:tcBorders>
            <w:shd w:val="clear" w:color="auto" w:fill="auto"/>
            <w:noWrap/>
            <w:vAlign w:val="bottom"/>
            <w:hideMark/>
          </w:tcPr>
          <w:p w14:paraId="6C6B9626"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112,77</w:t>
            </w:r>
          </w:p>
        </w:tc>
        <w:tc>
          <w:tcPr>
            <w:tcW w:w="881" w:type="dxa"/>
            <w:tcBorders>
              <w:top w:val="nil"/>
              <w:left w:val="nil"/>
              <w:bottom w:val="nil"/>
              <w:right w:val="nil"/>
            </w:tcBorders>
            <w:shd w:val="clear" w:color="auto" w:fill="auto"/>
            <w:noWrap/>
            <w:vAlign w:val="bottom"/>
            <w:hideMark/>
          </w:tcPr>
          <w:p w14:paraId="766C1375"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39,17</w:t>
            </w:r>
          </w:p>
        </w:tc>
        <w:tc>
          <w:tcPr>
            <w:tcW w:w="1271" w:type="dxa"/>
            <w:tcBorders>
              <w:top w:val="nil"/>
              <w:left w:val="nil"/>
              <w:bottom w:val="nil"/>
              <w:right w:val="nil"/>
            </w:tcBorders>
            <w:shd w:val="clear" w:color="auto" w:fill="auto"/>
            <w:noWrap/>
            <w:vAlign w:val="bottom"/>
            <w:hideMark/>
          </w:tcPr>
          <w:p w14:paraId="2B335FD3"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7.433.287,23</w:t>
            </w:r>
          </w:p>
        </w:tc>
        <w:tc>
          <w:tcPr>
            <w:tcW w:w="1271" w:type="dxa"/>
            <w:tcBorders>
              <w:top w:val="nil"/>
              <w:left w:val="nil"/>
              <w:bottom w:val="nil"/>
              <w:right w:val="nil"/>
            </w:tcBorders>
            <w:shd w:val="clear" w:color="auto" w:fill="auto"/>
            <w:noWrap/>
            <w:vAlign w:val="bottom"/>
            <w:hideMark/>
          </w:tcPr>
          <w:p w14:paraId="6CEFDFEA"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0,00</w:t>
            </w:r>
          </w:p>
        </w:tc>
      </w:tr>
      <w:tr w:rsidR="009E3414" w:rsidRPr="00A17B6F" w14:paraId="6F139880" w14:textId="77777777" w:rsidTr="00BD5A00">
        <w:trPr>
          <w:trHeight w:val="300"/>
        </w:trPr>
        <w:tc>
          <w:tcPr>
            <w:tcW w:w="2127" w:type="dxa"/>
            <w:tcBorders>
              <w:top w:val="nil"/>
              <w:left w:val="nil"/>
              <w:bottom w:val="nil"/>
              <w:right w:val="nil"/>
            </w:tcBorders>
            <w:shd w:val="clear" w:color="auto" w:fill="auto"/>
            <w:noWrap/>
            <w:vAlign w:val="bottom"/>
            <w:hideMark/>
          </w:tcPr>
          <w:p w14:paraId="1EB6D131"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03 JAVNI RED I SIGURNOST</w:t>
            </w:r>
          </w:p>
        </w:tc>
        <w:tc>
          <w:tcPr>
            <w:tcW w:w="1507" w:type="dxa"/>
            <w:tcBorders>
              <w:top w:val="nil"/>
              <w:left w:val="nil"/>
              <w:bottom w:val="nil"/>
              <w:right w:val="nil"/>
            </w:tcBorders>
            <w:shd w:val="clear" w:color="auto" w:fill="auto"/>
            <w:noWrap/>
            <w:vAlign w:val="bottom"/>
            <w:hideMark/>
          </w:tcPr>
          <w:p w14:paraId="66840A2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143.288,07</w:t>
            </w:r>
          </w:p>
        </w:tc>
        <w:tc>
          <w:tcPr>
            <w:tcW w:w="1363" w:type="dxa"/>
            <w:tcBorders>
              <w:top w:val="nil"/>
              <w:left w:val="nil"/>
              <w:bottom w:val="nil"/>
              <w:right w:val="nil"/>
            </w:tcBorders>
            <w:shd w:val="clear" w:color="auto" w:fill="auto"/>
            <w:noWrap/>
            <w:vAlign w:val="bottom"/>
            <w:hideMark/>
          </w:tcPr>
          <w:p w14:paraId="72878E8E"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1.158.251,73</w:t>
            </w:r>
          </w:p>
        </w:tc>
        <w:tc>
          <w:tcPr>
            <w:tcW w:w="1363" w:type="dxa"/>
            <w:tcBorders>
              <w:top w:val="nil"/>
              <w:left w:val="nil"/>
              <w:bottom w:val="nil"/>
              <w:right w:val="nil"/>
            </w:tcBorders>
            <w:shd w:val="clear" w:color="auto" w:fill="auto"/>
            <w:noWrap/>
            <w:vAlign w:val="bottom"/>
            <w:hideMark/>
          </w:tcPr>
          <w:p w14:paraId="5574C37D"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264.789,50</w:t>
            </w:r>
          </w:p>
        </w:tc>
        <w:tc>
          <w:tcPr>
            <w:tcW w:w="1295" w:type="dxa"/>
            <w:tcBorders>
              <w:top w:val="nil"/>
              <w:left w:val="nil"/>
              <w:bottom w:val="nil"/>
              <w:right w:val="nil"/>
            </w:tcBorders>
            <w:shd w:val="clear" w:color="auto" w:fill="auto"/>
            <w:noWrap/>
            <w:vAlign w:val="bottom"/>
            <w:hideMark/>
          </w:tcPr>
          <w:p w14:paraId="7B7C6D7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184,80</w:t>
            </w:r>
          </w:p>
        </w:tc>
        <w:tc>
          <w:tcPr>
            <w:tcW w:w="881" w:type="dxa"/>
            <w:tcBorders>
              <w:top w:val="nil"/>
              <w:left w:val="nil"/>
              <w:bottom w:val="nil"/>
              <w:right w:val="nil"/>
            </w:tcBorders>
            <w:shd w:val="clear" w:color="auto" w:fill="auto"/>
            <w:noWrap/>
            <w:vAlign w:val="bottom"/>
            <w:hideMark/>
          </w:tcPr>
          <w:p w14:paraId="6F7FA2DA"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22,86</w:t>
            </w:r>
          </w:p>
        </w:tc>
        <w:tc>
          <w:tcPr>
            <w:tcW w:w="1271" w:type="dxa"/>
            <w:tcBorders>
              <w:top w:val="nil"/>
              <w:left w:val="nil"/>
              <w:bottom w:val="nil"/>
              <w:right w:val="nil"/>
            </w:tcBorders>
            <w:shd w:val="clear" w:color="auto" w:fill="auto"/>
            <w:noWrap/>
            <w:vAlign w:val="bottom"/>
            <w:hideMark/>
          </w:tcPr>
          <w:p w14:paraId="0E976987"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264.789,50</w:t>
            </w:r>
          </w:p>
        </w:tc>
        <w:tc>
          <w:tcPr>
            <w:tcW w:w="1271" w:type="dxa"/>
            <w:tcBorders>
              <w:top w:val="nil"/>
              <w:left w:val="nil"/>
              <w:bottom w:val="nil"/>
              <w:right w:val="nil"/>
            </w:tcBorders>
            <w:shd w:val="clear" w:color="auto" w:fill="auto"/>
            <w:noWrap/>
            <w:vAlign w:val="bottom"/>
            <w:hideMark/>
          </w:tcPr>
          <w:p w14:paraId="61B81BE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0,00</w:t>
            </w:r>
          </w:p>
        </w:tc>
      </w:tr>
      <w:tr w:rsidR="009E3414" w:rsidRPr="00A17B6F" w14:paraId="47292900" w14:textId="77777777" w:rsidTr="00BD5A00">
        <w:trPr>
          <w:trHeight w:val="300"/>
        </w:trPr>
        <w:tc>
          <w:tcPr>
            <w:tcW w:w="2127" w:type="dxa"/>
            <w:tcBorders>
              <w:top w:val="nil"/>
              <w:left w:val="nil"/>
              <w:bottom w:val="nil"/>
              <w:right w:val="nil"/>
            </w:tcBorders>
            <w:shd w:val="clear" w:color="auto" w:fill="auto"/>
            <w:noWrap/>
            <w:vAlign w:val="bottom"/>
            <w:hideMark/>
          </w:tcPr>
          <w:p w14:paraId="5DCE650D"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04 EKONOMSKI POSLOVI</w:t>
            </w:r>
          </w:p>
        </w:tc>
        <w:tc>
          <w:tcPr>
            <w:tcW w:w="1507" w:type="dxa"/>
            <w:tcBorders>
              <w:top w:val="nil"/>
              <w:left w:val="nil"/>
              <w:bottom w:val="nil"/>
              <w:right w:val="nil"/>
            </w:tcBorders>
            <w:shd w:val="clear" w:color="auto" w:fill="auto"/>
            <w:noWrap/>
            <w:vAlign w:val="bottom"/>
            <w:hideMark/>
          </w:tcPr>
          <w:p w14:paraId="52079BFB"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1.354.312,95</w:t>
            </w:r>
          </w:p>
        </w:tc>
        <w:tc>
          <w:tcPr>
            <w:tcW w:w="1363" w:type="dxa"/>
            <w:tcBorders>
              <w:top w:val="nil"/>
              <w:left w:val="nil"/>
              <w:bottom w:val="nil"/>
              <w:right w:val="nil"/>
            </w:tcBorders>
            <w:shd w:val="clear" w:color="auto" w:fill="auto"/>
            <w:noWrap/>
            <w:vAlign w:val="bottom"/>
            <w:hideMark/>
          </w:tcPr>
          <w:p w14:paraId="08F7DA7B"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11.105.921,19</w:t>
            </w:r>
          </w:p>
        </w:tc>
        <w:tc>
          <w:tcPr>
            <w:tcW w:w="1363" w:type="dxa"/>
            <w:tcBorders>
              <w:top w:val="nil"/>
              <w:left w:val="nil"/>
              <w:bottom w:val="nil"/>
              <w:right w:val="nil"/>
            </w:tcBorders>
            <w:shd w:val="clear" w:color="auto" w:fill="auto"/>
            <w:noWrap/>
            <w:vAlign w:val="bottom"/>
            <w:hideMark/>
          </w:tcPr>
          <w:p w14:paraId="2785628C"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2.181.807,83</w:t>
            </w:r>
          </w:p>
        </w:tc>
        <w:tc>
          <w:tcPr>
            <w:tcW w:w="1295" w:type="dxa"/>
            <w:tcBorders>
              <w:top w:val="nil"/>
              <w:left w:val="nil"/>
              <w:bottom w:val="nil"/>
              <w:right w:val="nil"/>
            </w:tcBorders>
            <w:shd w:val="clear" w:color="auto" w:fill="auto"/>
            <w:noWrap/>
            <w:vAlign w:val="bottom"/>
            <w:hideMark/>
          </w:tcPr>
          <w:p w14:paraId="432261BC"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161,10</w:t>
            </w:r>
          </w:p>
        </w:tc>
        <w:tc>
          <w:tcPr>
            <w:tcW w:w="881" w:type="dxa"/>
            <w:tcBorders>
              <w:top w:val="nil"/>
              <w:left w:val="nil"/>
              <w:bottom w:val="nil"/>
              <w:right w:val="nil"/>
            </w:tcBorders>
            <w:shd w:val="clear" w:color="auto" w:fill="auto"/>
            <w:noWrap/>
            <w:vAlign w:val="bottom"/>
            <w:hideMark/>
          </w:tcPr>
          <w:p w14:paraId="190C5113"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19,65</w:t>
            </w:r>
          </w:p>
        </w:tc>
        <w:tc>
          <w:tcPr>
            <w:tcW w:w="1271" w:type="dxa"/>
            <w:tcBorders>
              <w:top w:val="nil"/>
              <w:left w:val="nil"/>
              <w:bottom w:val="nil"/>
              <w:right w:val="nil"/>
            </w:tcBorders>
            <w:shd w:val="clear" w:color="auto" w:fill="auto"/>
            <w:noWrap/>
            <w:vAlign w:val="bottom"/>
            <w:hideMark/>
          </w:tcPr>
          <w:p w14:paraId="088F0F56"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2.091.358,94</w:t>
            </w:r>
          </w:p>
        </w:tc>
        <w:tc>
          <w:tcPr>
            <w:tcW w:w="1271" w:type="dxa"/>
            <w:tcBorders>
              <w:top w:val="nil"/>
              <w:left w:val="nil"/>
              <w:bottom w:val="nil"/>
              <w:right w:val="nil"/>
            </w:tcBorders>
            <w:shd w:val="clear" w:color="auto" w:fill="auto"/>
            <w:noWrap/>
            <w:vAlign w:val="bottom"/>
            <w:hideMark/>
          </w:tcPr>
          <w:p w14:paraId="734C0A0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90.448,89</w:t>
            </w:r>
          </w:p>
        </w:tc>
      </w:tr>
      <w:tr w:rsidR="009E3414" w:rsidRPr="00A17B6F" w14:paraId="72206F20" w14:textId="77777777" w:rsidTr="00BD5A00">
        <w:trPr>
          <w:trHeight w:val="300"/>
        </w:trPr>
        <w:tc>
          <w:tcPr>
            <w:tcW w:w="2127" w:type="dxa"/>
            <w:tcBorders>
              <w:top w:val="nil"/>
              <w:left w:val="nil"/>
              <w:bottom w:val="nil"/>
              <w:right w:val="nil"/>
            </w:tcBorders>
            <w:shd w:val="clear" w:color="auto" w:fill="auto"/>
            <w:noWrap/>
            <w:vAlign w:val="bottom"/>
            <w:hideMark/>
          </w:tcPr>
          <w:p w14:paraId="1116AE0F"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05 ZAŠTITA OKOLIŠA</w:t>
            </w:r>
          </w:p>
        </w:tc>
        <w:tc>
          <w:tcPr>
            <w:tcW w:w="1507" w:type="dxa"/>
            <w:tcBorders>
              <w:top w:val="nil"/>
              <w:left w:val="nil"/>
              <w:bottom w:val="nil"/>
              <w:right w:val="nil"/>
            </w:tcBorders>
            <w:shd w:val="clear" w:color="auto" w:fill="auto"/>
            <w:noWrap/>
            <w:vAlign w:val="bottom"/>
            <w:hideMark/>
          </w:tcPr>
          <w:p w14:paraId="2E202CB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404.315,39</w:t>
            </w:r>
          </w:p>
        </w:tc>
        <w:tc>
          <w:tcPr>
            <w:tcW w:w="1363" w:type="dxa"/>
            <w:tcBorders>
              <w:top w:val="nil"/>
              <w:left w:val="nil"/>
              <w:bottom w:val="nil"/>
              <w:right w:val="nil"/>
            </w:tcBorders>
            <w:shd w:val="clear" w:color="auto" w:fill="auto"/>
            <w:noWrap/>
            <w:vAlign w:val="bottom"/>
            <w:hideMark/>
          </w:tcPr>
          <w:p w14:paraId="2361772D"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1.585.749,01</w:t>
            </w:r>
          </w:p>
        </w:tc>
        <w:tc>
          <w:tcPr>
            <w:tcW w:w="1363" w:type="dxa"/>
            <w:tcBorders>
              <w:top w:val="nil"/>
              <w:left w:val="nil"/>
              <w:bottom w:val="nil"/>
              <w:right w:val="nil"/>
            </w:tcBorders>
            <w:shd w:val="clear" w:color="auto" w:fill="auto"/>
            <w:noWrap/>
            <w:vAlign w:val="bottom"/>
            <w:hideMark/>
          </w:tcPr>
          <w:p w14:paraId="6D25C061"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379.254,11</w:t>
            </w:r>
          </w:p>
        </w:tc>
        <w:tc>
          <w:tcPr>
            <w:tcW w:w="1295" w:type="dxa"/>
            <w:tcBorders>
              <w:top w:val="nil"/>
              <w:left w:val="nil"/>
              <w:bottom w:val="nil"/>
              <w:right w:val="nil"/>
            </w:tcBorders>
            <w:shd w:val="clear" w:color="auto" w:fill="auto"/>
            <w:noWrap/>
            <w:vAlign w:val="bottom"/>
            <w:hideMark/>
          </w:tcPr>
          <w:p w14:paraId="5C522A9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93,80</w:t>
            </w:r>
          </w:p>
        </w:tc>
        <w:tc>
          <w:tcPr>
            <w:tcW w:w="881" w:type="dxa"/>
            <w:tcBorders>
              <w:top w:val="nil"/>
              <w:left w:val="nil"/>
              <w:bottom w:val="nil"/>
              <w:right w:val="nil"/>
            </w:tcBorders>
            <w:shd w:val="clear" w:color="auto" w:fill="auto"/>
            <w:noWrap/>
            <w:vAlign w:val="bottom"/>
            <w:hideMark/>
          </w:tcPr>
          <w:p w14:paraId="5737FB1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23,92</w:t>
            </w:r>
          </w:p>
        </w:tc>
        <w:tc>
          <w:tcPr>
            <w:tcW w:w="1271" w:type="dxa"/>
            <w:tcBorders>
              <w:top w:val="nil"/>
              <w:left w:val="nil"/>
              <w:bottom w:val="nil"/>
              <w:right w:val="nil"/>
            </w:tcBorders>
            <w:shd w:val="clear" w:color="auto" w:fill="auto"/>
            <w:noWrap/>
            <w:vAlign w:val="bottom"/>
            <w:hideMark/>
          </w:tcPr>
          <w:p w14:paraId="19A8188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351.212,52</w:t>
            </w:r>
          </w:p>
        </w:tc>
        <w:tc>
          <w:tcPr>
            <w:tcW w:w="1271" w:type="dxa"/>
            <w:tcBorders>
              <w:top w:val="nil"/>
              <w:left w:val="nil"/>
              <w:bottom w:val="nil"/>
              <w:right w:val="nil"/>
            </w:tcBorders>
            <w:shd w:val="clear" w:color="auto" w:fill="auto"/>
            <w:noWrap/>
            <w:vAlign w:val="bottom"/>
            <w:hideMark/>
          </w:tcPr>
          <w:p w14:paraId="60C14928"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28.041,59</w:t>
            </w:r>
          </w:p>
        </w:tc>
      </w:tr>
      <w:tr w:rsidR="009E3414" w:rsidRPr="00A17B6F" w14:paraId="5F09D378" w14:textId="77777777" w:rsidTr="00BD5A00">
        <w:trPr>
          <w:trHeight w:val="300"/>
        </w:trPr>
        <w:tc>
          <w:tcPr>
            <w:tcW w:w="2127" w:type="dxa"/>
            <w:tcBorders>
              <w:top w:val="nil"/>
              <w:left w:val="nil"/>
              <w:bottom w:val="nil"/>
              <w:right w:val="nil"/>
            </w:tcBorders>
            <w:shd w:val="clear" w:color="auto" w:fill="auto"/>
            <w:noWrap/>
            <w:vAlign w:val="bottom"/>
            <w:hideMark/>
          </w:tcPr>
          <w:p w14:paraId="61541888"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06 USLUGE UNAPREĐENJA STANOVANJA I ZAJEDNICE</w:t>
            </w:r>
          </w:p>
        </w:tc>
        <w:tc>
          <w:tcPr>
            <w:tcW w:w="1507" w:type="dxa"/>
            <w:tcBorders>
              <w:top w:val="nil"/>
              <w:left w:val="nil"/>
              <w:bottom w:val="nil"/>
              <w:right w:val="nil"/>
            </w:tcBorders>
            <w:shd w:val="clear" w:color="auto" w:fill="auto"/>
            <w:noWrap/>
            <w:vAlign w:val="bottom"/>
            <w:hideMark/>
          </w:tcPr>
          <w:p w14:paraId="723E079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868.764,52</w:t>
            </w:r>
          </w:p>
        </w:tc>
        <w:tc>
          <w:tcPr>
            <w:tcW w:w="1363" w:type="dxa"/>
            <w:tcBorders>
              <w:top w:val="nil"/>
              <w:left w:val="nil"/>
              <w:bottom w:val="nil"/>
              <w:right w:val="nil"/>
            </w:tcBorders>
            <w:shd w:val="clear" w:color="auto" w:fill="auto"/>
            <w:noWrap/>
            <w:vAlign w:val="bottom"/>
            <w:hideMark/>
          </w:tcPr>
          <w:p w14:paraId="50B7666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3.430.657,89</w:t>
            </w:r>
          </w:p>
        </w:tc>
        <w:tc>
          <w:tcPr>
            <w:tcW w:w="1363" w:type="dxa"/>
            <w:tcBorders>
              <w:top w:val="nil"/>
              <w:left w:val="nil"/>
              <w:bottom w:val="nil"/>
              <w:right w:val="nil"/>
            </w:tcBorders>
            <w:shd w:val="clear" w:color="auto" w:fill="auto"/>
            <w:noWrap/>
            <w:vAlign w:val="bottom"/>
            <w:hideMark/>
          </w:tcPr>
          <w:p w14:paraId="26DF8EC0"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1.005.621,97</w:t>
            </w:r>
          </w:p>
        </w:tc>
        <w:tc>
          <w:tcPr>
            <w:tcW w:w="1295" w:type="dxa"/>
            <w:tcBorders>
              <w:top w:val="nil"/>
              <w:left w:val="nil"/>
              <w:bottom w:val="nil"/>
              <w:right w:val="nil"/>
            </w:tcBorders>
            <w:shd w:val="clear" w:color="auto" w:fill="auto"/>
            <w:noWrap/>
            <w:vAlign w:val="bottom"/>
            <w:hideMark/>
          </w:tcPr>
          <w:p w14:paraId="69742AB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115,75</w:t>
            </w:r>
          </w:p>
        </w:tc>
        <w:tc>
          <w:tcPr>
            <w:tcW w:w="881" w:type="dxa"/>
            <w:tcBorders>
              <w:top w:val="nil"/>
              <w:left w:val="nil"/>
              <w:bottom w:val="nil"/>
              <w:right w:val="nil"/>
            </w:tcBorders>
            <w:shd w:val="clear" w:color="auto" w:fill="auto"/>
            <w:noWrap/>
            <w:vAlign w:val="bottom"/>
            <w:hideMark/>
          </w:tcPr>
          <w:p w14:paraId="2897E648"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29,31</w:t>
            </w:r>
          </w:p>
        </w:tc>
        <w:tc>
          <w:tcPr>
            <w:tcW w:w="1271" w:type="dxa"/>
            <w:tcBorders>
              <w:top w:val="nil"/>
              <w:left w:val="nil"/>
              <w:bottom w:val="nil"/>
              <w:right w:val="nil"/>
            </w:tcBorders>
            <w:shd w:val="clear" w:color="auto" w:fill="auto"/>
            <w:noWrap/>
            <w:vAlign w:val="bottom"/>
            <w:hideMark/>
          </w:tcPr>
          <w:p w14:paraId="666A214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1.001.922,37</w:t>
            </w:r>
          </w:p>
        </w:tc>
        <w:tc>
          <w:tcPr>
            <w:tcW w:w="1271" w:type="dxa"/>
            <w:tcBorders>
              <w:top w:val="nil"/>
              <w:left w:val="nil"/>
              <w:bottom w:val="nil"/>
              <w:right w:val="nil"/>
            </w:tcBorders>
            <w:shd w:val="clear" w:color="auto" w:fill="auto"/>
            <w:noWrap/>
            <w:vAlign w:val="bottom"/>
            <w:hideMark/>
          </w:tcPr>
          <w:p w14:paraId="108BD227"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3.699,60</w:t>
            </w:r>
          </w:p>
        </w:tc>
      </w:tr>
      <w:tr w:rsidR="009E3414" w:rsidRPr="00A17B6F" w14:paraId="754C0E7E" w14:textId="77777777" w:rsidTr="00BD5A00">
        <w:trPr>
          <w:trHeight w:val="300"/>
        </w:trPr>
        <w:tc>
          <w:tcPr>
            <w:tcW w:w="2127" w:type="dxa"/>
            <w:tcBorders>
              <w:top w:val="nil"/>
              <w:left w:val="nil"/>
              <w:bottom w:val="nil"/>
              <w:right w:val="nil"/>
            </w:tcBorders>
            <w:shd w:val="clear" w:color="auto" w:fill="auto"/>
            <w:noWrap/>
            <w:vAlign w:val="bottom"/>
            <w:hideMark/>
          </w:tcPr>
          <w:p w14:paraId="1702905E"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07 ZDRAVSTVO</w:t>
            </w:r>
          </w:p>
        </w:tc>
        <w:tc>
          <w:tcPr>
            <w:tcW w:w="1507" w:type="dxa"/>
            <w:tcBorders>
              <w:top w:val="nil"/>
              <w:left w:val="nil"/>
              <w:bottom w:val="nil"/>
              <w:right w:val="nil"/>
            </w:tcBorders>
            <w:shd w:val="clear" w:color="auto" w:fill="auto"/>
            <w:noWrap/>
            <w:vAlign w:val="bottom"/>
            <w:hideMark/>
          </w:tcPr>
          <w:p w14:paraId="58691D98"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39.081.798,75</w:t>
            </w:r>
          </w:p>
        </w:tc>
        <w:tc>
          <w:tcPr>
            <w:tcW w:w="1363" w:type="dxa"/>
            <w:tcBorders>
              <w:top w:val="nil"/>
              <w:left w:val="nil"/>
              <w:bottom w:val="nil"/>
              <w:right w:val="nil"/>
            </w:tcBorders>
            <w:shd w:val="clear" w:color="auto" w:fill="auto"/>
            <w:noWrap/>
            <w:vAlign w:val="bottom"/>
            <w:hideMark/>
          </w:tcPr>
          <w:p w14:paraId="53A139F1"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119.262.139,60</w:t>
            </w:r>
          </w:p>
        </w:tc>
        <w:tc>
          <w:tcPr>
            <w:tcW w:w="1363" w:type="dxa"/>
            <w:tcBorders>
              <w:top w:val="nil"/>
              <w:left w:val="nil"/>
              <w:bottom w:val="nil"/>
              <w:right w:val="nil"/>
            </w:tcBorders>
            <w:shd w:val="clear" w:color="auto" w:fill="auto"/>
            <w:noWrap/>
            <w:vAlign w:val="bottom"/>
            <w:hideMark/>
          </w:tcPr>
          <w:p w14:paraId="6B38B7B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48.679.902,20</w:t>
            </w:r>
          </w:p>
        </w:tc>
        <w:tc>
          <w:tcPr>
            <w:tcW w:w="1295" w:type="dxa"/>
            <w:tcBorders>
              <w:top w:val="nil"/>
              <w:left w:val="nil"/>
              <w:bottom w:val="nil"/>
              <w:right w:val="nil"/>
            </w:tcBorders>
            <w:shd w:val="clear" w:color="auto" w:fill="auto"/>
            <w:noWrap/>
            <w:vAlign w:val="bottom"/>
            <w:hideMark/>
          </w:tcPr>
          <w:p w14:paraId="79EC5678"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124,56</w:t>
            </w:r>
          </w:p>
        </w:tc>
        <w:tc>
          <w:tcPr>
            <w:tcW w:w="881" w:type="dxa"/>
            <w:tcBorders>
              <w:top w:val="nil"/>
              <w:left w:val="nil"/>
              <w:bottom w:val="nil"/>
              <w:right w:val="nil"/>
            </w:tcBorders>
            <w:shd w:val="clear" w:color="auto" w:fill="auto"/>
            <w:noWrap/>
            <w:vAlign w:val="bottom"/>
            <w:hideMark/>
          </w:tcPr>
          <w:p w14:paraId="7ABE30F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40,82</w:t>
            </w:r>
          </w:p>
        </w:tc>
        <w:tc>
          <w:tcPr>
            <w:tcW w:w="1271" w:type="dxa"/>
            <w:tcBorders>
              <w:top w:val="nil"/>
              <w:left w:val="nil"/>
              <w:bottom w:val="nil"/>
              <w:right w:val="nil"/>
            </w:tcBorders>
            <w:shd w:val="clear" w:color="auto" w:fill="auto"/>
            <w:noWrap/>
            <w:vAlign w:val="bottom"/>
            <w:hideMark/>
          </w:tcPr>
          <w:p w14:paraId="6D68E81D"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3.683.928,17</w:t>
            </w:r>
          </w:p>
        </w:tc>
        <w:tc>
          <w:tcPr>
            <w:tcW w:w="1271" w:type="dxa"/>
            <w:tcBorders>
              <w:top w:val="nil"/>
              <w:left w:val="nil"/>
              <w:bottom w:val="nil"/>
              <w:right w:val="nil"/>
            </w:tcBorders>
            <w:shd w:val="clear" w:color="auto" w:fill="auto"/>
            <w:noWrap/>
            <w:vAlign w:val="bottom"/>
            <w:hideMark/>
          </w:tcPr>
          <w:p w14:paraId="6C9D9AE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44.995.974,03</w:t>
            </w:r>
          </w:p>
        </w:tc>
      </w:tr>
      <w:tr w:rsidR="009E3414" w:rsidRPr="00A17B6F" w14:paraId="7C5B1C59" w14:textId="77777777" w:rsidTr="00BD5A00">
        <w:trPr>
          <w:trHeight w:val="300"/>
        </w:trPr>
        <w:tc>
          <w:tcPr>
            <w:tcW w:w="2127" w:type="dxa"/>
            <w:tcBorders>
              <w:top w:val="nil"/>
              <w:left w:val="nil"/>
              <w:bottom w:val="nil"/>
              <w:right w:val="nil"/>
            </w:tcBorders>
            <w:shd w:val="clear" w:color="auto" w:fill="auto"/>
            <w:noWrap/>
            <w:vAlign w:val="bottom"/>
            <w:hideMark/>
          </w:tcPr>
          <w:p w14:paraId="01D4E6BF"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08 REKREACIJA, KULTURA, RELIGIJA</w:t>
            </w:r>
          </w:p>
        </w:tc>
        <w:tc>
          <w:tcPr>
            <w:tcW w:w="1507" w:type="dxa"/>
            <w:tcBorders>
              <w:top w:val="nil"/>
              <w:left w:val="nil"/>
              <w:bottom w:val="nil"/>
              <w:right w:val="nil"/>
            </w:tcBorders>
            <w:shd w:val="clear" w:color="auto" w:fill="auto"/>
            <w:noWrap/>
            <w:vAlign w:val="bottom"/>
            <w:hideMark/>
          </w:tcPr>
          <w:p w14:paraId="5FA4E14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2.471.470,42</w:t>
            </w:r>
          </w:p>
        </w:tc>
        <w:tc>
          <w:tcPr>
            <w:tcW w:w="1363" w:type="dxa"/>
            <w:tcBorders>
              <w:top w:val="nil"/>
              <w:left w:val="nil"/>
              <w:bottom w:val="nil"/>
              <w:right w:val="nil"/>
            </w:tcBorders>
            <w:shd w:val="clear" w:color="auto" w:fill="auto"/>
            <w:noWrap/>
            <w:vAlign w:val="bottom"/>
            <w:hideMark/>
          </w:tcPr>
          <w:p w14:paraId="53648F2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7.168.394,02</w:t>
            </w:r>
          </w:p>
        </w:tc>
        <w:tc>
          <w:tcPr>
            <w:tcW w:w="1363" w:type="dxa"/>
            <w:tcBorders>
              <w:top w:val="nil"/>
              <w:left w:val="nil"/>
              <w:bottom w:val="nil"/>
              <w:right w:val="nil"/>
            </w:tcBorders>
            <w:shd w:val="clear" w:color="auto" w:fill="auto"/>
            <w:noWrap/>
            <w:vAlign w:val="bottom"/>
            <w:hideMark/>
          </w:tcPr>
          <w:p w14:paraId="53D5D5BD"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2.604.744,39</w:t>
            </w:r>
          </w:p>
        </w:tc>
        <w:tc>
          <w:tcPr>
            <w:tcW w:w="1295" w:type="dxa"/>
            <w:tcBorders>
              <w:top w:val="nil"/>
              <w:left w:val="nil"/>
              <w:bottom w:val="nil"/>
              <w:right w:val="nil"/>
            </w:tcBorders>
            <w:shd w:val="clear" w:color="auto" w:fill="auto"/>
            <w:noWrap/>
            <w:vAlign w:val="bottom"/>
            <w:hideMark/>
          </w:tcPr>
          <w:p w14:paraId="4D75A16E"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105,39</w:t>
            </w:r>
          </w:p>
        </w:tc>
        <w:tc>
          <w:tcPr>
            <w:tcW w:w="881" w:type="dxa"/>
            <w:tcBorders>
              <w:top w:val="nil"/>
              <w:left w:val="nil"/>
              <w:bottom w:val="nil"/>
              <w:right w:val="nil"/>
            </w:tcBorders>
            <w:shd w:val="clear" w:color="auto" w:fill="auto"/>
            <w:noWrap/>
            <w:vAlign w:val="bottom"/>
            <w:hideMark/>
          </w:tcPr>
          <w:p w14:paraId="34BED6C6"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36,34</w:t>
            </w:r>
          </w:p>
        </w:tc>
        <w:tc>
          <w:tcPr>
            <w:tcW w:w="1271" w:type="dxa"/>
            <w:tcBorders>
              <w:top w:val="nil"/>
              <w:left w:val="nil"/>
              <w:bottom w:val="nil"/>
              <w:right w:val="nil"/>
            </w:tcBorders>
            <w:shd w:val="clear" w:color="auto" w:fill="auto"/>
            <w:noWrap/>
            <w:vAlign w:val="bottom"/>
            <w:hideMark/>
          </w:tcPr>
          <w:p w14:paraId="18422D4B"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2.503.926,45</w:t>
            </w:r>
          </w:p>
        </w:tc>
        <w:tc>
          <w:tcPr>
            <w:tcW w:w="1271" w:type="dxa"/>
            <w:tcBorders>
              <w:top w:val="nil"/>
              <w:left w:val="nil"/>
              <w:bottom w:val="nil"/>
              <w:right w:val="nil"/>
            </w:tcBorders>
            <w:shd w:val="clear" w:color="auto" w:fill="auto"/>
            <w:noWrap/>
            <w:vAlign w:val="bottom"/>
            <w:hideMark/>
          </w:tcPr>
          <w:p w14:paraId="3DD0550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100.817,94</w:t>
            </w:r>
          </w:p>
        </w:tc>
      </w:tr>
      <w:tr w:rsidR="009E3414" w:rsidRPr="00A17B6F" w14:paraId="11336276" w14:textId="77777777" w:rsidTr="00BD5A00">
        <w:trPr>
          <w:trHeight w:val="300"/>
        </w:trPr>
        <w:tc>
          <w:tcPr>
            <w:tcW w:w="2127" w:type="dxa"/>
            <w:tcBorders>
              <w:top w:val="nil"/>
              <w:left w:val="nil"/>
              <w:bottom w:val="nil"/>
              <w:right w:val="nil"/>
            </w:tcBorders>
            <w:shd w:val="clear" w:color="auto" w:fill="auto"/>
            <w:noWrap/>
            <w:vAlign w:val="bottom"/>
            <w:hideMark/>
          </w:tcPr>
          <w:p w14:paraId="4E5B799E"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09 OBRAZOVANJE</w:t>
            </w:r>
          </w:p>
        </w:tc>
        <w:tc>
          <w:tcPr>
            <w:tcW w:w="1507" w:type="dxa"/>
            <w:tcBorders>
              <w:top w:val="nil"/>
              <w:left w:val="nil"/>
              <w:bottom w:val="nil"/>
              <w:right w:val="nil"/>
            </w:tcBorders>
            <w:shd w:val="clear" w:color="auto" w:fill="auto"/>
            <w:noWrap/>
            <w:vAlign w:val="bottom"/>
            <w:hideMark/>
          </w:tcPr>
          <w:p w14:paraId="265582D5"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43.784.729,29</w:t>
            </w:r>
          </w:p>
        </w:tc>
        <w:tc>
          <w:tcPr>
            <w:tcW w:w="1363" w:type="dxa"/>
            <w:tcBorders>
              <w:top w:val="nil"/>
              <w:left w:val="nil"/>
              <w:bottom w:val="nil"/>
              <w:right w:val="nil"/>
            </w:tcBorders>
            <w:shd w:val="clear" w:color="auto" w:fill="auto"/>
            <w:noWrap/>
            <w:vAlign w:val="bottom"/>
            <w:hideMark/>
          </w:tcPr>
          <w:p w14:paraId="3988F67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110.183.814,40</w:t>
            </w:r>
          </w:p>
        </w:tc>
        <w:tc>
          <w:tcPr>
            <w:tcW w:w="1363" w:type="dxa"/>
            <w:tcBorders>
              <w:top w:val="nil"/>
              <w:left w:val="nil"/>
              <w:bottom w:val="nil"/>
              <w:right w:val="nil"/>
            </w:tcBorders>
            <w:shd w:val="clear" w:color="auto" w:fill="auto"/>
            <w:noWrap/>
            <w:vAlign w:val="bottom"/>
            <w:hideMark/>
          </w:tcPr>
          <w:p w14:paraId="56638825"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51.934.660,65</w:t>
            </w:r>
          </w:p>
        </w:tc>
        <w:tc>
          <w:tcPr>
            <w:tcW w:w="1295" w:type="dxa"/>
            <w:tcBorders>
              <w:top w:val="nil"/>
              <w:left w:val="nil"/>
              <w:bottom w:val="nil"/>
              <w:right w:val="nil"/>
            </w:tcBorders>
            <w:shd w:val="clear" w:color="auto" w:fill="auto"/>
            <w:noWrap/>
            <w:vAlign w:val="bottom"/>
            <w:hideMark/>
          </w:tcPr>
          <w:p w14:paraId="436AE2A3"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118,61</w:t>
            </w:r>
          </w:p>
        </w:tc>
        <w:tc>
          <w:tcPr>
            <w:tcW w:w="881" w:type="dxa"/>
            <w:tcBorders>
              <w:top w:val="nil"/>
              <w:left w:val="nil"/>
              <w:bottom w:val="nil"/>
              <w:right w:val="nil"/>
            </w:tcBorders>
            <w:shd w:val="clear" w:color="auto" w:fill="auto"/>
            <w:noWrap/>
            <w:vAlign w:val="bottom"/>
            <w:hideMark/>
          </w:tcPr>
          <w:p w14:paraId="76854FF8"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47,13</w:t>
            </w:r>
          </w:p>
        </w:tc>
        <w:tc>
          <w:tcPr>
            <w:tcW w:w="1271" w:type="dxa"/>
            <w:tcBorders>
              <w:top w:val="nil"/>
              <w:left w:val="nil"/>
              <w:bottom w:val="nil"/>
              <w:right w:val="nil"/>
            </w:tcBorders>
            <w:shd w:val="clear" w:color="auto" w:fill="auto"/>
            <w:noWrap/>
            <w:vAlign w:val="bottom"/>
            <w:hideMark/>
          </w:tcPr>
          <w:p w14:paraId="7359C53E"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5.566.567,93</w:t>
            </w:r>
          </w:p>
        </w:tc>
        <w:tc>
          <w:tcPr>
            <w:tcW w:w="1271" w:type="dxa"/>
            <w:tcBorders>
              <w:top w:val="nil"/>
              <w:left w:val="nil"/>
              <w:bottom w:val="nil"/>
              <w:right w:val="nil"/>
            </w:tcBorders>
            <w:shd w:val="clear" w:color="auto" w:fill="auto"/>
            <w:noWrap/>
            <w:vAlign w:val="bottom"/>
            <w:hideMark/>
          </w:tcPr>
          <w:p w14:paraId="55F0C7F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46.368.092,72</w:t>
            </w:r>
          </w:p>
        </w:tc>
      </w:tr>
      <w:tr w:rsidR="009E3414" w:rsidRPr="00A17B6F" w14:paraId="37FB6EC9" w14:textId="77777777" w:rsidTr="00BD5A00">
        <w:trPr>
          <w:trHeight w:val="315"/>
        </w:trPr>
        <w:tc>
          <w:tcPr>
            <w:tcW w:w="2127" w:type="dxa"/>
            <w:tcBorders>
              <w:top w:val="nil"/>
              <w:left w:val="nil"/>
              <w:bottom w:val="single" w:sz="8" w:space="0" w:color="auto"/>
              <w:right w:val="nil"/>
            </w:tcBorders>
            <w:shd w:val="clear" w:color="auto" w:fill="auto"/>
            <w:noWrap/>
            <w:vAlign w:val="bottom"/>
            <w:hideMark/>
          </w:tcPr>
          <w:p w14:paraId="7B5510A5"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 SOCIJALNA ZAŠTITA</w:t>
            </w:r>
          </w:p>
        </w:tc>
        <w:tc>
          <w:tcPr>
            <w:tcW w:w="1507" w:type="dxa"/>
            <w:tcBorders>
              <w:top w:val="nil"/>
              <w:left w:val="nil"/>
              <w:bottom w:val="single" w:sz="8" w:space="0" w:color="auto"/>
              <w:right w:val="nil"/>
            </w:tcBorders>
            <w:shd w:val="clear" w:color="auto" w:fill="auto"/>
            <w:noWrap/>
            <w:vAlign w:val="bottom"/>
            <w:hideMark/>
          </w:tcPr>
          <w:p w14:paraId="096C8A9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4.805.039,58</w:t>
            </w:r>
          </w:p>
        </w:tc>
        <w:tc>
          <w:tcPr>
            <w:tcW w:w="1363" w:type="dxa"/>
            <w:tcBorders>
              <w:top w:val="nil"/>
              <w:left w:val="nil"/>
              <w:bottom w:val="single" w:sz="8" w:space="0" w:color="auto"/>
              <w:right w:val="nil"/>
            </w:tcBorders>
            <w:shd w:val="clear" w:color="auto" w:fill="auto"/>
            <w:noWrap/>
            <w:vAlign w:val="bottom"/>
            <w:hideMark/>
          </w:tcPr>
          <w:p w14:paraId="240DBE6A"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18.291.747,38</w:t>
            </w:r>
          </w:p>
        </w:tc>
        <w:tc>
          <w:tcPr>
            <w:tcW w:w="1363" w:type="dxa"/>
            <w:tcBorders>
              <w:top w:val="nil"/>
              <w:left w:val="nil"/>
              <w:bottom w:val="single" w:sz="8" w:space="0" w:color="auto"/>
              <w:right w:val="nil"/>
            </w:tcBorders>
            <w:shd w:val="clear" w:color="auto" w:fill="auto"/>
            <w:noWrap/>
            <w:vAlign w:val="bottom"/>
            <w:hideMark/>
          </w:tcPr>
          <w:p w14:paraId="3E4EB02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5.855.570,00</w:t>
            </w:r>
          </w:p>
        </w:tc>
        <w:tc>
          <w:tcPr>
            <w:tcW w:w="1295" w:type="dxa"/>
            <w:tcBorders>
              <w:top w:val="nil"/>
              <w:left w:val="nil"/>
              <w:bottom w:val="single" w:sz="8" w:space="0" w:color="auto"/>
              <w:right w:val="nil"/>
            </w:tcBorders>
            <w:shd w:val="clear" w:color="auto" w:fill="auto"/>
            <w:noWrap/>
            <w:vAlign w:val="bottom"/>
            <w:hideMark/>
          </w:tcPr>
          <w:p w14:paraId="6BC8216D"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121,86</w:t>
            </w:r>
          </w:p>
        </w:tc>
        <w:tc>
          <w:tcPr>
            <w:tcW w:w="881" w:type="dxa"/>
            <w:tcBorders>
              <w:top w:val="nil"/>
              <w:left w:val="nil"/>
              <w:bottom w:val="single" w:sz="8" w:space="0" w:color="auto"/>
              <w:right w:val="nil"/>
            </w:tcBorders>
            <w:shd w:val="clear" w:color="auto" w:fill="auto"/>
            <w:noWrap/>
            <w:vAlign w:val="bottom"/>
            <w:hideMark/>
          </w:tcPr>
          <w:p w14:paraId="77B7565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32,01</w:t>
            </w:r>
          </w:p>
        </w:tc>
        <w:tc>
          <w:tcPr>
            <w:tcW w:w="1271" w:type="dxa"/>
            <w:tcBorders>
              <w:top w:val="nil"/>
              <w:left w:val="nil"/>
              <w:bottom w:val="single" w:sz="8" w:space="0" w:color="auto"/>
              <w:right w:val="nil"/>
            </w:tcBorders>
            <w:shd w:val="clear" w:color="auto" w:fill="auto"/>
            <w:noWrap/>
            <w:vAlign w:val="bottom"/>
            <w:hideMark/>
          </w:tcPr>
          <w:p w14:paraId="4F776E37"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2.037.750,40</w:t>
            </w:r>
          </w:p>
        </w:tc>
        <w:tc>
          <w:tcPr>
            <w:tcW w:w="1271" w:type="dxa"/>
            <w:tcBorders>
              <w:top w:val="nil"/>
              <w:left w:val="nil"/>
              <w:bottom w:val="single" w:sz="8" w:space="0" w:color="auto"/>
              <w:right w:val="nil"/>
            </w:tcBorders>
            <w:shd w:val="clear" w:color="auto" w:fill="auto"/>
            <w:noWrap/>
            <w:vAlign w:val="bottom"/>
            <w:hideMark/>
          </w:tcPr>
          <w:p w14:paraId="33CC198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3.817.819,60</w:t>
            </w:r>
          </w:p>
        </w:tc>
      </w:tr>
      <w:tr w:rsidR="009E3414" w:rsidRPr="00A17B6F" w14:paraId="1486DD7F" w14:textId="77777777" w:rsidTr="00BD5A00">
        <w:trPr>
          <w:trHeight w:val="315"/>
        </w:trPr>
        <w:tc>
          <w:tcPr>
            <w:tcW w:w="2127" w:type="dxa"/>
            <w:tcBorders>
              <w:top w:val="nil"/>
              <w:left w:val="nil"/>
              <w:bottom w:val="single" w:sz="8" w:space="0" w:color="auto"/>
              <w:right w:val="nil"/>
            </w:tcBorders>
            <w:shd w:val="clear" w:color="auto" w:fill="auto"/>
            <w:noWrap/>
            <w:vAlign w:val="bottom"/>
            <w:hideMark/>
          </w:tcPr>
          <w:p w14:paraId="43D5F7B3" w14:textId="77777777" w:rsidR="009E3414" w:rsidRPr="00A17B6F" w:rsidRDefault="009E3414" w:rsidP="009E3414">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UKUPNO</w:t>
            </w:r>
          </w:p>
        </w:tc>
        <w:tc>
          <w:tcPr>
            <w:tcW w:w="1507" w:type="dxa"/>
            <w:tcBorders>
              <w:top w:val="nil"/>
              <w:left w:val="nil"/>
              <w:bottom w:val="single" w:sz="8" w:space="0" w:color="auto"/>
              <w:right w:val="nil"/>
            </w:tcBorders>
            <w:shd w:val="clear" w:color="auto" w:fill="auto"/>
            <w:noWrap/>
            <w:vAlign w:val="bottom"/>
            <w:hideMark/>
          </w:tcPr>
          <w:p w14:paraId="028C7056"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99.505.003,69</w:t>
            </w:r>
          </w:p>
        </w:tc>
        <w:tc>
          <w:tcPr>
            <w:tcW w:w="1363" w:type="dxa"/>
            <w:tcBorders>
              <w:top w:val="nil"/>
              <w:left w:val="nil"/>
              <w:bottom w:val="single" w:sz="8" w:space="0" w:color="auto"/>
              <w:right w:val="nil"/>
            </w:tcBorders>
            <w:shd w:val="clear" w:color="auto" w:fill="auto"/>
            <w:noWrap/>
            <w:vAlign w:val="bottom"/>
            <w:hideMark/>
          </w:tcPr>
          <w:p w14:paraId="60BE52B4"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291.164.618,52</w:t>
            </w:r>
          </w:p>
        </w:tc>
        <w:tc>
          <w:tcPr>
            <w:tcW w:w="1363" w:type="dxa"/>
            <w:tcBorders>
              <w:top w:val="nil"/>
              <w:left w:val="nil"/>
              <w:bottom w:val="single" w:sz="8" w:space="0" w:color="auto"/>
              <w:right w:val="nil"/>
            </w:tcBorders>
            <w:shd w:val="clear" w:color="auto" w:fill="auto"/>
            <w:noWrap/>
            <w:vAlign w:val="bottom"/>
            <w:hideMark/>
          </w:tcPr>
          <w:p w14:paraId="0077BDD4"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120.339.637,88</w:t>
            </w:r>
          </w:p>
        </w:tc>
        <w:tc>
          <w:tcPr>
            <w:tcW w:w="1295" w:type="dxa"/>
            <w:tcBorders>
              <w:top w:val="nil"/>
              <w:left w:val="nil"/>
              <w:bottom w:val="single" w:sz="8" w:space="0" w:color="auto"/>
              <w:right w:val="nil"/>
            </w:tcBorders>
            <w:shd w:val="clear" w:color="auto" w:fill="auto"/>
            <w:noWrap/>
            <w:vAlign w:val="bottom"/>
            <w:hideMark/>
          </w:tcPr>
          <w:p w14:paraId="0CBA30DB"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120,94</w:t>
            </w:r>
          </w:p>
        </w:tc>
        <w:tc>
          <w:tcPr>
            <w:tcW w:w="881" w:type="dxa"/>
            <w:tcBorders>
              <w:top w:val="nil"/>
              <w:left w:val="nil"/>
              <w:bottom w:val="single" w:sz="8" w:space="0" w:color="auto"/>
              <w:right w:val="nil"/>
            </w:tcBorders>
            <w:shd w:val="clear" w:color="auto" w:fill="auto"/>
            <w:noWrap/>
            <w:vAlign w:val="bottom"/>
            <w:hideMark/>
          </w:tcPr>
          <w:p w14:paraId="5DF0F5EF"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41,33</w:t>
            </w:r>
          </w:p>
        </w:tc>
        <w:tc>
          <w:tcPr>
            <w:tcW w:w="1271" w:type="dxa"/>
            <w:tcBorders>
              <w:top w:val="nil"/>
              <w:left w:val="nil"/>
              <w:bottom w:val="single" w:sz="8" w:space="0" w:color="auto"/>
              <w:right w:val="nil"/>
            </w:tcBorders>
            <w:shd w:val="clear" w:color="auto" w:fill="auto"/>
            <w:noWrap/>
            <w:vAlign w:val="bottom"/>
            <w:hideMark/>
          </w:tcPr>
          <w:p w14:paraId="0017B5E5"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24.934.743,51</w:t>
            </w:r>
          </w:p>
        </w:tc>
        <w:tc>
          <w:tcPr>
            <w:tcW w:w="1271" w:type="dxa"/>
            <w:tcBorders>
              <w:top w:val="nil"/>
              <w:left w:val="nil"/>
              <w:bottom w:val="single" w:sz="8" w:space="0" w:color="auto"/>
              <w:right w:val="nil"/>
            </w:tcBorders>
            <w:shd w:val="clear" w:color="auto" w:fill="auto"/>
            <w:noWrap/>
            <w:vAlign w:val="bottom"/>
            <w:hideMark/>
          </w:tcPr>
          <w:p w14:paraId="28A9C8BE"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95.404.894,37</w:t>
            </w:r>
          </w:p>
        </w:tc>
      </w:tr>
    </w:tbl>
    <w:p w14:paraId="7629C0CE" w14:textId="633FAB28" w:rsidR="00E4215A" w:rsidRPr="00A17B6F" w:rsidRDefault="00E4215A" w:rsidP="00503749">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p>
    <w:p w14:paraId="21E930F4" w14:textId="6AA88C0A" w:rsidR="001B4A3E" w:rsidRPr="00A17B6F" w:rsidRDefault="00087289" w:rsidP="001B4A3E">
      <w:pPr>
        <w:pStyle w:val="BodyTextIndent3"/>
        <w:overflowPunct w:val="0"/>
        <w:autoSpaceDE w:val="0"/>
        <w:autoSpaceDN w:val="0"/>
        <w:adjustRightInd w:val="0"/>
        <w:ind w:left="0"/>
        <w:textAlignment w:val="baseline"/>
        <w:rPr>
          <w:bCs/>
          <w:szCs w:val="20"/>
        </w:rPr>
      </w:pPr>
      <w:r w:rsidRPr="00A17B6F">
        <w:rPr>
          <w:bCs/>
          <w:szCs w:val="20"/>
        </w:rPr>
        <w:tab/>
      </w:r>
      <w:r w:rsidR="001B4A3E" w:rsidRPr="00A17B6F">
        <w:rPr>
          <w:bCs/>
          <w:szCs w:val="20"/>
        </w:rPr>
        <w:t xml:space="preserve">Iz Tablice 5. je razvidno da su rashodi za </w:t>
      </w:r>
      <w:r w:rsidR="009F2C72" w:rsidRPr="00A17B6F">
        <w:rPr>
          <w:bCs/>
          <w:szCs w:val="20"/>
        </w:rPr>
        <w:t>sve funkcije</w:t>
      </w:r>
      <w:r w:rsidR="001B4A3E" w:rsidRPr="00A17B6F">
        <w:rPr>
          <w:bCs/>
          <w:szCs w:val="20"/>
        </w:rPr>
        <w:t xml:space="preserve"> planiran</w:t>
      </w:r>
      <w:r w:rsidR="009F2C72" w:rsidRPr="00A17B6F">
        <w:rPr>
          <w:bCs/>
          <w:szCs w:val="20"/>
        </w:rPr>
        <w:t>e</w:t>
      </w:r>
      <w:r w:rsidR="001B4A3E" w:rsidRPr="00A17B6F">
        <w:rPr>
          <w:bCs/>
          <w:szCs w:val="20"/>
        </w:rPr>
        <w:t xml:space="preserve"> u Proračunu za 202</w:t>
      </w:r>
      <w:r w:rsidR="009F2C72" w:rsidRPr="00A17B6F">
        <w:rPr>
          <w:bCs/>
          <w:szCs w:val="20"/>
        </w:rPr>
        <w:t>4</w:t>
      </w:r>
      <w:r w:rsidR="001B4A3E" w:rsidRPr="00A17B6F">
        <w:rPr>
          <w:bCs/>
          <w:szCs w:val="20"/>
        </w:rPr>
        <w:t>. godinu</w:t>
      </w:r>
      <w:r w:rsidR="009F2C72" w:rsidRPr="00A17B6F">
        <w:rPr>
          <w:bCs/>
          <w:szCs w:val="20"/>
        </w:rPr>
        <w:t xml:space="preserve">, osim rashoda za funkciju </w:t>
      </w:r>
      <w:r w:rsidR="009F2C72" w:rsidRPr="00A17B6F">
        <w:rPr>
          <w:bCs/>
          <w:i/>
          <w:szCs w:val="20"/>
        </w:rPr>
        <w:t>05 Zaštita okoliša,</w:t>
      </w:r>
      <w:r w:rsidR="001B4A3E" w:rsidRPr="00A17B6F">
        <w:rPr>
          <w:bCs/>
          <w:szCs w:val="20"/>
        </w:rPr>
        <w:t xml:space="preserve"> ostvareni u prvom polugodištu tekuće godine više nego u i</w:t>
      </w:r>
      <w:r w:rsidR="005A6810" w:rsidRPr="00A17B6F">
        <w:rPr>
          <w:bCs/>
          <w:szCs w:val="20"/>
        </w:rPr>
        <w:t>stom razdoblju prethodne godine</w:t>
      </w:r>
      <w:r w:rsidR="009F2C72" w:rsidRPr="00A17B6F">
        <w:rPr>
          <w:bCs/>
          <w:szCs w:val="20"/>
        </w:rPr>
        <w:t>.</w:t>
      </w:r>
      <w:r w:rsidR="005A6810" w:rsidRPr="00A17B6F">
        <w:rPr>
          <w:bCs/>
          <w:szCs w:val="20"/>
        </w:rPr>
        <w:t xml:space="preserve"> Ostvarenje rashoda po funkcijama u odnosu na godišnji plan kreće se u rasponu od </w:t>
      </w:r>
      <w:r w:rsidR="009F2C72" w:rsidRPr="00A17B6F">
        <w:rPr>
          <w:bCs/>
          <w:szCs w:val="20"/>
        </w:rPr>
        <w:t>19,65</w:t>
      </w:r>
      <w:r w:rsidR="005A6810" w:rsidRPr="00A17B6F">
        <w:rPr>
          <w:bCs/>
          <w:szCs w:val="20"/>
        </w:rPr>
        <w:t xml:space="preserve">% do </w:t>
      </w:r>
      <w:r w:rsidR="009F2C72" w:rsidRPr="00A17B6F">
        <w:rPr>
          <w:bCs/>
          <w:szCs w:val="20"/>
        </w:rPr>
        <w:t>47,13</w:t>
      </w:r>
      <w:r w:rsidR="005A6810" w:rsidRPr="00A17B6F">
        <w:rPr>
          <w:bCs/>
          <w:szCs w:val="20"/>
        </w:rPr>
        <w:t>%. Iz tablice je također razvidno da najveći doprinos</w:t>
      </w:r>
      <w:r w:rsidR="00FA5BD1" w:rsidRPr="00A17B6F">
        <w:rPr>
          <w:bCs/>
          <w:szCs w:val="20"/>
        </w:rPr>
        <w:t xml:space="preserve"> ostvarenju, po vrijednosti</w:t>
      </w:r>
      <w:r w:rsidR="005A6810" w:rsidRPr="00A17B6F">
        <w:rPr>
          <w:bCs/>
          <w:szCs w:val="20"/>
        </w:rPr>
        <w:t xml:space="preserve"> najznačajnijih funkcija (Zdravstvo i Obrazovanje)</w:t>
      </w:r>
      <w:r w:rsidR="00FA5BD1" w:rsidRPr="00A17B6F">
        <w:rPr>
          <w:bCs/>
          <w:szCs w:val="20"/>
        </w:rPr>
        <w:t>,</w:t>
      </w:r>
      <w:r w:rsidR="005A6810" w:rsidRPr="00A17B6F">
        <w:rPr>
          <w:bCs/>
          <w:szCs w:val="20"/>
        </w:rPr>
        <w:t xml:space="preserve"> daju rashodi financirani iz vlastitih i namjenskih prihoda i primitaka proračunskih korisnika. </w:t>
      </w:r>
    </w:p>
    <w:p w14:paraId="166820A6" w14:textId="77777777" w:rsidR="00B02752" w:rsidRPr="00A17B6F" w:rsidRDefault="00B02752" w:rsidP="00087289">
      <w:pPr>
        <w:overflowPunct w:val="0"/>
        <w:autoSpaceDE w:val="0"/>
        <w:autoSpaceDN w:val="0"/>
        <w:adjustRightInd w:val="0"/>
        <w:spacing w:after="0" w:line="240" w:lineRule="auto"/>
        <w:jc w:val="both"/>
        <w:textAlignment w:val="baseline"/>
        <w:rPr>
          <w:rFonts w:ascii="Arial" w:eastAsia="Times New Roman" w:hAnsi="Arial" w:cs="Times New Roman"/>
          <w:bCs/>
          <w:sz w:val="16"/>
          <w:szCs w:val="16"/>
          <w:lang w:eastAsia="hr-HR"/>
        </w:rPr>
      </w:pPr>
    </w:p>
    <w:p w14:paraId="51BF6E72" w14:textId="16F61EAB" w:rsidR="00087289" w:rsidRPr="00A17B6F" w:rsidRDefault="00087289" w:rsidP="00087289">
      <w:pPr>
        <w:spacing w:after="0" w:line="240" w:lineRule="auto"/>
        <w:ind w:left="1418" w:hanging="1418"/>
        <w:rPr>
          <w:rFonts w:ascii="Arial" w:eastAsia="Times New Roman" w:hAnsi="Arial" w:cs="Times New Roman"/>
          <w:sz w:val="24"/>
          <w:szCs w:val="24"/>
          <w:lang w:eastAsia="hr-HR"/>
        </w:rPr>
      </w:pPr>
      <w:r w:rsidRPr="00A17B6F">
        <w:rPr>
          <w:rFonts w:ascii="Arial" w:eastAsia="Times New Roman" w:hAnsi="Arial" w:cs="Times New Roman"/>
          <w:b/>
          <w:sz w:val="24"/>
          <w:szCs w:val="24"/>
          <w:lang w:eastAsia="hr-HR"/>
        </w:rPr>
        <w:t xml:space="preserve">Grafikon </w:t>
      </w:r>
      <w:r w:rsidR="00A24845" w:rsidRPr="00A17B6F">
        <w:rPr>
          <w:rFonts w:ascii="Arial" w:eastAsia="Times New Roman" w:hAnsi="Arial" w:cs="Times New Roman"/>
          <w:b/>
          <w:sz w:val="24"/>
          <w:szCs w:val="24"/>
          <w:lang w:eastAsia="hr-HR"/>
        </w:rPr>
        <w:t>6</w:t>
      </w:r>
      <w:r w:rsidRPr="00A17B6F">
        <w:rPr>
          <w:rFonts w:ascii="Arial" w:eastAsia="Times New Roman" w:hAnsi="Arial" w:cs="Times New Roman"/>
          <w:b/>
          <w:sz w:val="24"/>
          <w:szCs w:val="24"/>
          <w:lang w:eastAsia="hr-HR"/>
        </w:rPr>
        <w:t>.:</w:t>
      </w:r>
      <w:r w:rsidRPr="00A17B6F">
        <w:rPr>
          <w:rFonts w:ascii="Times New Roman" w:eastAsia="Times New Roman" w:hAnsi="Times New Roman" w:cs="Arial"/>
          <w:b/>
          <w:sz w:val="23"/>
          <w:szCs w:val="23"/>
          <w:lang w:eastAsia="hr-HR"/>
        </w:rPr>
        <w:t xml:space="preserve"> </w:t>
      </w:r>
      <w:r w:rsidRPr="00A17B6F">
        <w:rPr>
          <w:rFonts w:ascii="Arial" w:eastAsia="Times New Roman" w:hAnsi="Arial" w:cs="Times New Roman"/>
          <w:sz w:val="24"/>
          <w:szCs w:val="24"/>
          <w:lang w:eastAsia="hr-HR"/>
        </w:rPr>
        <w:t xml:space="preserve">Struktura </w:t>
      </w:r>
      <w:r w:rsidR="00CF5BEA" w:rsidRPr="00A17B6F">
        <w:rPr>
          <w:rFonts w:ascii="Arial" w:eastAsia="Times New Roman" w:hAnsi="Arial" w:cs="Times New Roman"/>
          <w:sz w:val="24"/>
          <w:szCs w:val="24"/>
          <w:lang w:eastAsia="hr-HR"/>
        </w:rPr>
        <w:t xml:space="preserve">izvršenih </w:t>
      </w:r>
      <w:r w:rsidRPr="00A17B6F">
        <w:rPr>
          <w:rFonts w:ascii="Arial" w:eastAsia="Times New Roman" w:hAnsi="Arial" w:cs="Times New Roman"/>
          <w:sz w:val="24"/>
          <w:szCs w:val="24"/>
          <w:lang w:eastAsia="hr-HR"/>
        </w:rPr>
        <w:t>rash</w:t>
      </w:r>
      <w:r w:rsidR="00CF2538" w:rsidRPr="00A17B6F">
        <w:rPr>
          <w:rFonts w:ascii="Arial" w:eastAsia="Times New Roman" w:hAnsi="Arial" w:cs="Times New Roman"/>
          <w:sz w:val="24"/>
          <w:szCs w:val="24"/>
          <w:lang w:eastAsia="hr-HR"/>
        </w:rPr>
        <w:t xml:space="preserve">oda </w:t>
      </w:r>
      <w:r w:rsidR="00B02752" w:rsidRPr="00A17B6F">
        <w:rPr>
          <w:rFonts w:ascii="Arial" w:eastAsia="Times New Roman" w:hAnsi="Arial" w:cs="Times New Roman"/>
          <w:sz w:val="24"/>
          <w:szCs w:val="24"/>
          <w:lang w:eastAsia="hr-HR"/>
        </w:rPr>
        <w:t xml:space="preserve">konsolidiranog </w:t>
      </w:r>
      <w:r w:rsidR="00FD1F85" w:rsidRPr="00A17B6F">
        <w:rPr>
          <w:rFonts w:ascii="Arial" w:eastAsia="Times New Roman" w:hAnsi="Arial" w:cs="Times New Roman"/>
          <w:sz w:val="24"/>
          <w:szCs w:val="24"/>
          <w:lang w:eastAsia="hr-HR"/>
        </w:rPr>
        <w:t>p</w:t>
      </w:r>
      <w:r w:rsidR="00CF2538" w:rsidRPr="00A17B6F">
        <w:rPr>
          <w:rFonts w:ascii="Arial" w:eastAsia="Times New Roman" w:hAnsi="Arial" w:cs="Times New Roman"/>
          <w:sz w:val="24"/>
          <w:szCs w:val="24"/>
          <w:lang w:eastAsia="hr-HR"/>
        </w:rPr>
        <w:t>roračuna</w:t>
      </w:r>
      <w:r w:rsidR="00B02752" w:rsidRPr="00A17B6F">
        <w:rPr>
          <w:rFonts w:ascii="Arial" w:eastAsia="Times New Roman" w:hAnsi="Arial" w:cs="Times New Roman"/>
          <w:sz w:val="24"/>
          <w:szCs w:val="24"/>
          <w:lang w:eastAsia="hr-HR"/>
        </w:rPr>
        <w:t xml:space="preserve"> PGŽ</w:t>
      </w:r>
      <w:r w:rsidR="00CF2538" w:rsidRPr="00A17B6F">
        <w:rPr>
          <w:rFonts w:ascii="Arial" w:eastAsia="Times New Roman" w:hAnsi="Arial" w:cs="Times New Roman"/>
          <w:sz w:val="24"/>
          <w:szCs w:val="24"/>
          <w:lang w:eastAsia="hr-HR"/>
        </w:rPr>
        <w:t xml:space="preserve"> </w:t>
      </w:r>
      <w:r w:rsidR="009B506F" w:rsidRPr="00A17B6F">
        <w:rPr>
          <w:rFonts w:ascii="Arial" w:hAnsi="Arial"/>
        </w:rPr>
        <w:t>u prvoj polovici 202</w:t>
      </w:r>
      <w:r w:rsidR="009E3414" w:rsidRPr="00A17B6F">
        <w:rPr>
          <w:rFonts w:ascii="Arial" w:hAnsi="Arial"/>
        </w:rPr>
        <w:t>4</w:t>
      </w:r>
      <w:r w:rsidR="009B506F" w:rsidRPr="00A17B6F">
        <w:rPr>
          <w:rFonts w:ascii="Arial" w:hAnsi="Arial"/>
        </w:rPr>
        <w:t xml:space="preserve">. godine </w:t>
      </w:r>
      <w:r w:rsidRPr="00A17B6F">
        <w:rPr>
          <w:rFonts w:ascii="Arial" w:eastAsia="Times New Roman" w:hAnsi="Arial" w:cs="Times New Roman"/>
          <w:sz w:val="24"/>
          <w:szCs w:val="24"/>
          <w:lang w:eastAsia="hr-HR"/>
        </w:rPr>
        <w:t>prema funkcijskoj klasifikaciji</w:t>
      </w:r>
    </w:p>
    <w:p w14:paraId="0D7A40F3" w14:textId="28BBC04E" w:rsidR="009E3414" w:rsidRPr="00A17B6F" w:rsidRDefault="009E3414" w:rsidP="009E3414">
      <w:pPr>
        <w:spacing w:after="0" w:line="240" w:lineRule="auto"/>
        <w:ind w:left="1418" w:hanging="1418"/>
        <w:jc w:val="center"/>
        <w:rPr>
          <w:rFonts w:ascii="Arial" w:eastAsia="Times New Roman" w:hAnsi="Arial" w:cs="Times New Roman"/>
          <w:sz w:val="24"/>
          <w:szCs w:val="24"/>
          <w:lang w:eastAsia="hr-HR"/>
        </w:rPr>
      </w:pPr>
      <w:r w:rsidRPr="00A17B6F">
        <w:rPr>
          <w:rFonts w:ascii="Arial" w:eastAsia="Times New Roman" w:hAnsi="Arial" w:cs="Times New Roman"/>
          <w:noProof/>
          <w:sz w:val="24"/>
          <w:szCs w:val="24"/>
          <w:lang w:eastAsia="hr-HR"/>
        </w:rPr>
        <w:drawing>
          <wp:inline distT="0" distB="0" distL="0" distR="0" wp14:anchorId="793EFF4C" wp14:editId="4777B77F">
            <wp:extent cx="5295331" cy="2741480"/>
            <wp:effectExtent l="0" t="0" r="63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9362" cy="2764276"/>
                    </a:xfrm>
                    <a:prstGeom prst="rect">
                      <a:avLst/>
                    </a:prstGeom>
                    <a:noFill/>
                  </pic:spPr>
                </pic:pic>
              </a:graphicData>
            </a:graphic>
          </wp:inline>
        </w:drawing>
      </w:r>
    </w:p>
    <w:p w14:paraId="7ECFA0EA" w14:textId="3E937561" w:rsidR="001B4A3E" w:rsidRPr="00A17B6F" w:rsidRDefault="00087289" w:rsidP="001B4A3E">
      <w:pPr>
        <w:pStyle w:val="BodyTextIndent3"/>
        <w:overflowPunct w:val="0"/>
        <w:autoSpaceDE w:val="0"/>
        <w:autoSpaceDN w:val="0"/>
        <w:adjustRightInd w:val="0"/>
        <w:ind w:left="0"/>
        <w:textAlignment w:val="baseline"/>
        <w:rPr>
          <w:bCs/>
          <w:szCs w:val="20"/>
        </w:rPr>
      </w:pPr>
      <w:r w:rsidRPr="00A17B6F">
        <w:rPr>
          <w:bCs/>
          <w:szCs w:val="20"/>
        </w:rPr>
        <w:lastRenderedPageBreak/>
        <w:tab/>
      </w:r>
      <w:r w:rsidR="001B4A3E" w:rsidRPr="00A17B6F">
        <w:rPr>
          <w:bCs/>
          <w:szCs w:val="20"/>
        </w:rPr>
        <w:t>Na razini konsolidiranog Proračuna PGŽ za 202</w:t>
      </w:r>
      <w:r w:rsidR="009F2C72" w:rsidRPr="00A17B6F">
        <w:rPr>
          <w:bCs/>
          <w:szCs w:val="20"/>
        </w:rPr>
        <w:t>4</w:t>
      </w:r>
      <w:r w:rsidR="001B4A3E" w:rsidRPr="00A17B6F">
        <w:rPr>
          <w:bCs/>
          <w:szCs w:val="20"/>
        </w:rPr>
        <w:t>. godinu, najveći udjel u izvršenju u ukupnim rashodima prvog polugodišta ima funkcija 09 Obrazovanje (</w:t>
      </w:r>
      <w:r w:rsidR="00113D03" w:rsidRPr="00A17B6F">
        <w:rPr>
          <w:bCs/>
          <w:szCs w:val="20"/>
        </w:rPr>
        <w:t>43,2</w:t>
      </w:r>
      <w:r w:rsidR="00E072A2" w:rsidRPr="00A17B6F">
        <w:rPr>
          <w:bCs/>
          <w:szCs w:val="20"/>
        </w:rPr>
        <w:t>%) nakon koje slijede funkcije:</w:t>
      </w:r>
      <w:r w:rsidR="001B4A3E" w:rsidRPr="00A17B6F">
        <w:rPr>
          <w:bCs/>
          <w:szCs w:val="20"/>
        </w:rPr>
        <w:t xml:space="preserve"> 07 Zdravstvo (</w:t>
      </w:r>
      <w:r w:rsidR="00113D03" w:rsidRPr="00A17B6F">
        <w:rPr>
          <w:bCs/>
          <w:szCs w:val="20"/>
        </w:rPr>
        <w:t>40,5</w:t>
      </w:r>
      <w:r w:rsidR="001B4A3E" w:rsidRPr="00A17B6F">
        <w:rPr>
          <w:bCs/>
          <w:szCs w:val="20"/>
        </w:rPr>
        <w:t>%), 01 Opće javne usluge (6,</w:t>
      </w:r>
      <w:r w:rsidR="00113D03" w:rsidRPr="00A17B6F">
        <w:rPr>
          <w:bCs/>
          <w:szCs w:val="20"/>
        </w:rPr>
        <w:t>2</w:t>
      </w:r>
      <w:r w:rsidR="001B4A3E" w:rsidRPr="00A17B6F">
        <w:rPr>
          <w:bCs/>
          <w:szCs w:val="20"/>
        </w:rPr>
        <w:t>%) te 10 Socijalna zaštita (</w:t>
      </w:r>
      <w:r w:rsidR="005A6810" w:rsidRPr="00A17B6F">
        <w:rPr>
          <w:bCs/>
          <w:szCs w:val="20"/>
        </w:rPr>
        <w:t>4,</w:t>
      </w:r>
      <w:r w:rsidR="00113D03" w:rsidRPr="00A17B6F">
        <w:rPr>
          <w:bCs/>
          <w:szCs w:val="20"/>
        </w:rPr>
        <w:t>9</w:t>
      </w:r>
      <w:r w:rsidR="001B4A3E" w:rsidRPr="00A17B6F">
        <w:rPr>
          <w:bCs/>
          <w:szCs w:val="20"/>
        </w:rPr>
        <w:t xml:space="preserve">%). Sve ostale funkcije zajedno sudjeluju sa </w:t>
      </w:r>
      <w:r w:rsidR="005A6810" w:rsidRPr="00A17B6F">
        <w:rPr>
          <w:bCs/>
          <w:szCs w:val="20"/>
        </w:rPr>
        <w:t>5,3</w:t>
      </w:r>
      <w:r w:rsidR="001B4A3E" w:rsidRPr="00A17B6F">
        <w:rPr>
          <w:bCs/>
          <w:szCs w:val="20"/>
        </w:rPr>
        <w:t>% u ukupnim rashodima i izdacima Proračuna u prvoj polovici 202</w:t>
      </w:r>
      <w:r w:rsidR="005A6810" w:rsidRPr="00A17B6F">
        <w:rPr>
          <w:bCs/>
          <w:szCs w:val="20"/>
        </w:rPr>
        <w:t>3</w:t>
      </w:r>
      <w:r w:rsidR="001B4A3E" w:rsidRPr="00A17B6F">
        <w:rPr>
          <w:bCs/>
          <w:szCs w:val="20"/>
        </w:rPr>
        <w:t>. godine.</w:t>
      </w:r>
    </w:p>
    <w:p w14:paraId="0DB7D817" w14:textId="09190D3C" w:rsidR="00471668" w:rsidRDefault="00471668"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211D7A9C" w14:textId="77777777" w:rsidR="00BD5A00" w:rsidRPr="00A17B6F" w:rsidRDefault="00BD5A00"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14:paraId="5C277023" w14:textId="752FD1C3" w:rsidR="00087289" w:rsidRPr="00A17B6F" w:rsidRDefault="00BF0B60" w:rsidP="00BF0B60">
      <w:pPr>
        <w:spacing w:after="0" w:line="240" w:lineRule="auto"/>
        <w:jc w:val="both"/>
        <w:rPr>
          <w:rFonts w:ascii="Arial" w:eastAsia="Times New Roman" w:hAnsi="Arial" w:cs="Times New Roman"/>
          <w:b/>
          <w:bCs/>
          <w:sz w:val="28"/>
          <w:szCs w:val="28"/>
          <w:lang w:eastAsia="hr-HR"/>
        </w:rPr>
      </w:pPr>
      <w:r w:rsidRPr="00A17B6F">
        <w:rPr>
          <w:rFonts w:ascii="Arial" w:eastAsia="Times New Roman" w:hAnsi="Arial" w:cs="Times New Roman"/>
          <w:b/>
          <w:i/>
          <w:sz w:val="24"/>
          <w:szCs w:val="24"/>
          <w:u w:val="single"/>
          <w:lang w:eastAsia="hr-HR"/>
        </w:rPr>
        <w:t>Rashodi i izdaci prema izvorima</w:t>
      </w:r>
    </w:p>
    <w:p w14:paraId="7005D42A" w14:textId="4C12CDC7" w:rsidR="00087289" w:rsidRPr="00A17B6F" w:rsidRDefault="00087289" w:rsidP="00087289">
      <w:pPr>
        <w:spacing w:after="0" w:line="240" w:lineRule="auto"/>
        <w:ind w:left="360" w:right="72" w:hanging="360"/>
        <w:jc w:val="both"/>
        <w:rPr>
          <w:rFonts w:ascii="Arial" w:eastAsia="Times New Roman" w:hAnsi="Arial" w:cs="Times New Roman"/>
          <w:b/>
          <w:bCs/>
          <w:sz w:val="28"/>
          <w:szCs w:val="28"/>
          <w:lang w:eastAsia="hr-HR"/>
        </w:rPr>
      </w:pPr>
    </w:p>
    <w:p w14:paraId="5EB3B189" w14:textId="030D7FF0" w:rsidR="00113D03" w:rsidRPr="00A17B6F" w:rsidRDefault="00BF0B60" w:rsidP="00BF0B60">
      <w:pPr>
        <w:spacing w:after="0" w:line="240" w:lineRule="auto"/>
        <w:ind w:right="72" w:firstLine="708"/>
        <w:jc w:val="both"/>
        <w:rPr>
          <w:rFonts w:ascii="Arial" w:eastAsia="Times New Roman" w:hAnsi="Arial" w:cs="Times New Roman"/>
          <w:bCs/>
          <w:sz w:val="24"/>
          <w:szCs w:val="20"/>
          <w:lang w:eastAsia="hr-HR"/>
        </w:rPr>
      </w:pPr>
      <w:r w:rsidRPr="00A17B6F">
        <w:rPr>
          <w:rFonts w:ascii="Arial" w:eastAsia="Times New Roman" w:hAnsi="Arial" w:cs="Times New Roman"/>
          <w:bCs/>
          <w:sz w:val="24"/>
          <w:szCs w:val="20"/>
          <w:lang w:eastAsia="hr-HR"/>
        </w:rPr>
        <w:t xml:space="preserve">U Tablici 6. dan je prikaz </w:t>
      </w:r>
      <w:r w:rsidR="007A3853" w:rsidRPr="00A17B6F">
        <w:rPr>
          <w:rFonts w:ascii="Arial" w:eastAsia="Times New Roman" w:hAnsi="Arial" w:cs="Times New Roman"/>
          <w:bCs/>
          <w:sz w:val="24"/>
          <w:szCs w:val="20"/>
          <w:lang w:eastAsia="hr-HR"/>
        </w:rPr>
        <w:t xml:space="preserve">izvršenja </w:t>
      </w:r>
      <w:r w:rsidRPr="00A17B6F">
        <w:rPr>
          <w:rFonts w:ascii="Arial" w:eastAsia="Times New Roman" w:hAnsi="Arial" w:cs="Times New Roman"/>
          <w:bCs/>
          <w:sz w:val="24"/>
          <w:szCs w:val="20"/>
          <w:lang w:eastAsia="hr-HR"/>
        </w:rPr>
        <w:t>ukupnih rashoda i izdataka prema izvorima financiranja u prvoj polovici 202</w:t>
      </w:r>
      <w:r w:rsidR="00113D03" w:rsidRPr="00A17B6F">
        <w:rPr>
          <w:rFonts w:ascii="Arial" w:eastAsia="Times New Roman" w:hAnsi="Arial" w:cs="Times New Roman"/>
          <w:bCs/>
          <w:sz w:val="24"/>
          <w:szCs w:val="20"/>
          <w:lang w:eastAsia="hr-HR"/>
        </w:rPr>
        <w:t>4</w:t>
      </w:r>
      <w:r w:rsidRPr="00A17B6F">
        <w:rPr>
          <w:rFonts w:ascii="Arial" w:eastAsia="Times New Roman" w:hAnsi="Arial" w:cs="Times New Roman"/>
          <w:bCs/>
          <w:sz w:val="24"/>
          <w:szCs w:val="20"/>
          <w:lang w:eastAsia="hr-HR"/>
        </w:rPr>
        <w:t>. godine</w:t>
      </w:r>
      <w:r w:rsidR="007A3853" w:rsidRPr="00A17B6F">
        <w:rPr>
          <w:rFonts w:ascii="Arial" w:eastAsia="Times New Roman" w:hAnsi="Arial" w:cs="Times New Roman"/>
          <w:bCs/>
          <w:sz w:val="24"/>
          <w:szCs w:val="20"/>
          <w:lang w:eastAsia="hr-HR"/>
        </w:rPr>
        <w:t xml:space="preserve"> u odnosu na izvršenje u istom razdoblju prošle godine i u odnosu na godišnji plan za tekuću godinu</w:t>
      </w:r>
      <w:r w:rsidRPr="00A17B6F">
        <w:rPr>
          <w:rFonts w:ascii="Arial" w:eastAsia="Times New Roman" w:hAnsi="Arial" w:cs="Times New Roman"/>
          <w:bCs/>
          <w:sz w:val="24"/>
          <w:szCs w:val="20"/>
          <w:lang w:eastAsia="hr-HR"/>
        </w:rPr>
        <w:t xml:space="preserve">. </w:t>
      </w:r>
      <w:r w:rsidR="000415C0" w:rsidRPr="00A17B6F">
        <w:rPr>
          <w:rFonts w:ascii="Arial" w:eastAsia="Times New Roman" w:hAnsi="Arial" w:cs="Times New Roman"/>
          <w:bCs/>
          <w:sz w:val="24"/>
          <w:szCs w:val="20"/>
          <w:lang w:eastAsia="hr-HR"/>
        </w:rPr>
        <w:t xml:space="preserve">Iz prezentiranih podataka razvidno </w:t>
      </w:r>
      <w:r w:rsidR="008073C8" w:rsidRPr="00A17B6F">
        <w:rPr>
          <w:rFonts w:ascii="Arial" w:eastAsia="Times New Roman" w:hAnsi="Arial" w:cs="Times New Roman"/>
          <w:bCs/>
          <w:sz w:val="24"/>
          <w:szCs w:val="20"/>
          <w:lang w:eastAsia="hr-HR"/>
        </w:rPr>
        <w:t xml:space="preserve">je </w:t>
      </w:r>
      <w:r w:rsidR="000415C0" w:rsidRPr="00A17B6F">
        <w:rPr>
          <w:rFonts w:ascii="Arial" w:eastAsia="Times New Roman" w:hAnsi="Arial" w:cs="Times New Roman"/>
          <w:bCs/>
          <w:sz w:val="24"/>
          <w:szCs w:val="20"/>
          <w:lang w:eastAsia="hr-HR"/>
        </w:rPr>
        <w:t xml:space="preserve">da </w:t>
      </w:r>
      <w:r w:rsidR="008073C8" w:rsidRPr="00A17B6F">
        <w:rPr>
          <w:rFonts w:ascii="Arial" w:eastAsia="Times New Roman" w:hAnsi="Arial" w:cs="Times New Roman"/>
          <w:bCs/>
          <w:sz w:val="24"/>
          <w:szCs w:val="20"/>
          <w:lang w:eastAsia="hr-HR"/>
        </w:rPr>
        <w:t>su rashodi i izdaci po svim izvorima financiranja</w:t>
      </w:r>
      <w:r w:rsidR="00113D03" w:rsidRPr="00A17B6F">
        <w:rPr>
          <w:rFonts w:ascii="Arial" w:eastAsia="Times New Roman" w:hAnsi="Arial" w:cs="Times New Roman"/>
          <w:bCs/>
          <w:sz w:val="24"/>
          <w:szCs w:val="20"/>
          <w:lang w:eastAsia="hr-HR"/>
        </w:rPr>
        <w:t xml:space="preserve">, osim izvora </w:t>
      </w:r>
      <w:r w:rsidR="00113D03" w:rsidRPr="00A17B6F">
        <w:rPr>
          <w:rFonts w:ascii="Arial" w:eastAsia="Times New Roman" w:hAnsi="Arial" w:cs="Times New Roman"/>
          <w:bCs/>
          <w:i/>
          <w:sz w:val="24"/>
          <w:szCs w:val="20"/>
          <w:lang w:eastAsia="hr-HR"/>
        </w:rPr>
        <w:t>6 Donacije</w:t>
      </w:r>
      <w:r w:rsidR="00113D03" w:rsidRPr="00A17B6F">
        <w:rPr>
          <w:rFonts w:ascii="Arial" w:eastAsia="Times New Roman" w:hAnsi="Arial" w:cs="Times New Roman"/>
          <w:bCs/>
          <w:sz w:val="24"/>
          <w:szCs w:val="20"/>
          <w:lang w:eastAsia="hr-HR"/>
        </w:rPr>
        <w:t xml:space="preserve"> i izvora </w:t>
      </w:r>
      <w:r w:rsidR="00113D03" w:rsidRPr="00A17B6F">
        <w:rPr>
          <w:rFonts w:ascii="Arial" w:eastAsia="Times New Roman" w:hAnsi="Arial" w:cs="Times New Roman"/>
          <w:bCs/>
          <w:i/>
          <w:sz w:val="24"/>
          <w:szCs w:val="20"/>
          <w:lang w:eastAsia="hr-HR"/>
        </w:rPr>
        <w:t xml:space="preserve">7 Prihodi od prodaje ili zamjene </w:t>
      </w:r>
      <w:proofErr w:type="spellStart"/>
      <w:r w:rsidR="00113D03" w:rsidRPr="00A17B6F">
        <w:rPr>
          <w:rFonts w:ascii="Arial" w:eastAsia="Times New Roman" w:hAnsi="Arial" w:cs="Times New Roman"/>
          <w:bCs/>
          <w:i/>
          <w:sz w:val="24"/>
          <w:szCs w:val="20"/>
          <w:lang w:eastAsia="hr-HR"/>
        </w:rPr>
        <w:t>nefin.imovine</w:t>
      </w:r>
      <w:proofErr w:type="spellEnd"/>
      <w:r w:rsidR="00113D03" w:rsidRPr="00A17B6F">
        <w:rPr>
          <w:rFonts w:ascii="Arial" w:eastAsia="Times New Roman" w:hAnsi="Arial" w:cs="Times New Roman"/>
          <w:bCs/>
          <w:sz w:val="24"/>
          <w:szCs w:val="20"/>
          <w:lang w:eastAsia="hr-HR"/>
        </w:rPr>
        <w:t>,</w:t>
      </w:r>
      <w:r w:rsidR="008073C8" w:rsidRPr="00A17B6F">
        <w:rPr>
          <w:rFonts w:ascii="Arial" w:eastAsia="Times New Roman" w:hAnsi="Arial" w:cs="Times New Roman"/>
          <w:bCs/>
          <w:sz w:val="24"/>
          <w:szCs w:val="20"/>
          <w:lang w:eastAsia="hr-HR"/>
        </w:rPr>
        <w:t xml:space="preserve"> veći u odnosu na </w:t>
      </w:r>
      <w:r w:rsidR="007A3853" w:rsidRPr="00A17B6F">
        <w:rPr>
          <w:rFonts w:ascii="Arial" w:eastAsia="Times New Roman" w:hAnsi="Arial" w:cs="Times New Roman"/>
          <w:bCs/>
          <w:sz w:val="24"/>
          <w:szCs w:val="20"/>
          <w:lang w:eastAsia="hr-HR"/>
        </w:rPr>
        <w:t>izvršenje u prvih šest mjeseci</w:t>
      </w:r>
      <w:r w:rsidR="008073C8" w:rsidRPr="00A17B6F">
        <w:rPr>
          <w:rFonts w:ascii="Arial" w:eastAsia="Times New Roman" w:hAnsi="Arial" w:cs="Times New Roman"/>
          <w:bCs/>
          <w:sz w:val="24"/>
          <w:szCs w:val="20"/>
          <w:lang w:eastAsia="hr-HR"/>
        </w:rPr>
        <w:t xml:space="preserve"> prošle godine. Najviše rashoda i izdataka u izvještajnom razdoblju je financirano iz </w:t>
      </w:r>
      <w:r w:rsidR="00113D03" w:rsidRPr="00A17B6F">
        <w:rPr>
          <w:rFonts w:ascii="Arial" w:eastAsia="Times New Roman" w:hAnsi="Arial" w:cs="Times New Roman"/>
          <w:bCs/>
          <w:sz w:val="24"/>
          <w:szCs w:val="20"/>
          <w:lang w:eastAsia="hr-HR"/>
        </w:rPr>
        <w:t>izvora 5 Pomoći (48.470.544,06 eura) i izvora 4 Prihodi za posebne namjene (46.580.181,49 eura) pri čemu se najveći dio tih rashoda odnosi na rashode i izdatke proračunskih korisnika.</w:t>
      </w:r>
    </w:p>
    <w:p w14:paraId="008F8FC7" w14:textId="77777777" w:rsidR="00113D03" w:rsidRPr="00A17B6F" w:rsidRDefault="00113D03" w:rsidP="00BF0B60">
      <w:pPr>
        <w:spacing w:after="0" w:line="240" w:lineRule="auto"/>
        <w:ind w:right="72" w:firstLine="708"/>
        <w:jc w:val="both"/>
        <w:rPr>
          <w:rFonts w:ascii="Arial" w:eastAsia="Times New Roman" w:hAnsi="Arial" w:cs="Times New Roman"/>
          <w:bCs/>
          <w:sz w:val="24"/>
          <w:szCs w:val="20"/>
          <w:lang w:eastAsia="hr-HR"/>
        </w:rPr>
      </w:pPr>
    </w:p>
    <w:p w14:paraId="086D2F7A" w14:textId="617BC7BB" w:rsidR="00BF0B60" w:rsidRPr="00A17B6F" w:rsidRDefault="007A3853" w:rsidP="00BF0B60">
      <w:pPr>
        <w:spacing w:after="0" w:line="240" w:lineRule="auto"/>
        <w:ind w:right="72" w:firstLine="708"/>
        <w:jc w:val="both"/>
        <w:rPr>
          <w:rFonts w:ascii="Arial" w:eastAsia="Times New Roman" w:hAnsi="Arial" w:cs="Times New Roman"/>
          <w:bCs/>
          <w:sz w:val="24"/>
          <w:szCs w:val="20"/>
          <w:lang w:eastAsia="hr-HR"/>
        </w:rPr>
      </w:pPr>
      <w:r w:rsidRPr="00A17B6F">
        <w:rPr>
          <w:rFonts w:ascii="Arial" w:eastAsia="Times New Roman" w:hAnsi="Arial" w:cs="Times New Roman"/>
          <w:bCs/>
          <w:sz w:val="24"/>
          <w:szCs w:val="20"/>
          <w:lang w:eastAsia="hr-HR"/>
        </w:rPr>
        <w:t>Županijski rashodi i izdaci su u najvećem dijelu financirani iz općih izvora (</w:t>
      </w:r>
      <w:r w:rsidR="00113D03" w:rsidRPr="00A17B6F">
        <w:rPr>
          <w:rFonts w:ascii="Arial" w:eastAsia="Times New Roman" w:hAnsi="Arial" w:cs="Times New Roman"/>
          <w:bCs/>
          <w:sz w:val="24"/>
          <w:szCs w:val="20"/>
          <w:lang w:eastAsia="hr-HR"/>
        </w:rPr>
        <w:t>17.792.000,04</w:t>
      </w:r>
      <w:r w:rsidRPr="00A17B6F">
        <w:rPr>
          <w:rFonts w:ascii="Arial" w:eastAsia="Times New Roman" w:hAnsi="Arial" w:cs="Times New Roman"/>
          <w:bCs/>
          <w:sz w:val="24"/>
          <w:szCs w:val="20"/>
          <w:lang w:eastAsia="hr-HR"/>
        </w:rPr>
        <w:t xml:space="preserve"> eura), nakon kojih slijede rashodi i izdaci financirani iz namjenskih prihoda (</w:t>
      </w:r>
      <w:r w:rsidR="00113D03" w:rsidRPr="00A17B6F">
        <w:rPr>
          <w:rFonts w:ascii="Arial" w:eastAsia="Times New Roman" w:hAnsi="Arial" w:cs="Times New Roman"/>
          <w:bCs/>
          <w:sz w:val="24"/>
          <w:szCs w:val="20"/>
          <w:lang w:eastAsia="hr-HR"/>
        </w:rPr>
        <w:t>5.971.396,16 eura) i</w:t>
      </w:r>
      <w:r w:rsidRPr="00A17B6F">
        <w:rPr>
          <w:rFonts w:ascii="Arial" w:eastAsia="Times New Roman" w:hAnsi="Arial" w:cs="Times New Roman"/>
          <w:bCs/>
          <w:sz w:val="24"/>
          <w:szCs w:val="20"/>
          <w:lang w:eastAsia="hr-HR"/>
        </w:rPr>
        <w:t xml:space="preserve"> pomoći (</w:t>
      </w:r>
      <w:r w:rsidR="00113D03" w:rsidRPr="00A17B6F">
        <w:rPr>
          <w:rFonts w:ascii="Arial" w:eastAsia="Times New Roman" w:hAnsi="Arial" w:cs="Times New Roman"/>
          <w:bCs/>
          <w:sz w:val="24"/>
          <w:szCs w:val="20"/>
          <w:lang w:eastAsia="hr-HR"/>
        </w:rPr>
        <w:t>1.343.171,36</w:t>
      </w:r>
      <w:r w:rsidRPr="00A17B6F">
        <w:rPr>
          <w:rFonts w:ascii="Arial" w:eastAsia="Times New Roman" w:hAnsi="Arial" w:cs="Times New Roman"/>
          <w:bCs/>
          <w:sz w:val="24"/>
          <w:szCs w:val="20"/>
          <w:lang w:eastAsia="hr-HR"/>
        </w:rPr>
        <w:t xml:space="preserve"> eura)</w:t>
      </w:r>
      <w:r w:rsidR="00113D03" w:rsidRPr="00A17B6F">
        <w:rPr>
          <w:rFonts w:ascii="Arial" w:eastAsia="Times New Roman" w:hAnsi="Arial" w:cs="Times New Roman"/>
          <w:bCs/>
          <w:sz w:val="24"/>
          <w:szCs w:val="20"/>
          <w:lang w:eastAsia="hr-HR"/>
        </w:rPr>
        <w:t>.</w:t>
      </w:r>
    </w:p>
    <w:p w14:paraId="5843E37B" w14:textId="77777777" w:rsidR="00BF0B60" w:rsidRPr="00A17B6F" w:rsidRDefault="00BF0B60" w:rsidP="00087289">
      <w:pPr>
        <w:spacing w:after="0" w:line="240" w:lineRule="auto"/>
        <w:ind w:left="360" w:right="72" w:hanging="360"/>
        <w:jc w:val="both"/>
        <w:rPr>
          <w:rFonts w:ascii="Arial" w:eastAsia="Times New Roman" w:hAnsi="Arial" w:cs="Times New Roman"/>
          <w:b/>
          <w:bCs/>
          <w:sz w:val="16"/>
          <w:szCs w:val="16"/>
          <w:lang w:eastAsia="hr-HR"/>
        </w:rPr>
      </w:pPr>
    </w:p>
    <w:p w14:paraId="7DAD5A90" w14:textId="774F0168" w:rsidR="00BF0B60" w:rsidRPr="00A17B6F" w:rsidRDefault="00BF0B60" w:rsidP="00BF0B60">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r w:rsidRPr="00A17B6F">
        <w:rPr>
          <w:rFonts w:ascii="Arial" w:eastAsia="Times New Roman" w:hAnsi="Arial" w:cs="Arial"/>
          <w:b/>
          <w:sz w:val="24"/>
          <w:szCs w:val="24"/>
          <w:lang w:eastAsia="hr-HR"/>
        </w:rPr>
        <w:t>Tablica 6.</w:t>
      </w:r>
      <w:r w:rsidRPr="00A17B6F">
        <w:rPr>
          <w:rFonts w:ascii="Arial" w:eastAsia="Times New Roman" w:hAnsi="Arial" w:cs="Arial"/>
          <w:sz w:val="24"/>
          <w:szCs w:val="24"/>
          <w:lang w:eastAsia="hr-HR"/>
        </w:rPr>
        <w:t>: Izvršenje konsolidiranih rashoda i izdataka proračuna PGŽ u prvoj polovici 202</w:t>
      </w:r>
      <w:r w:rsidR="009E3414" w:rsidRPr="00A17B6F">
        <w:rPr>
          <w:rFonts w:ascii="Arial" w:eastAsia="Times New Roman" w:hAnsi="Arial" w:cs="Arial"/>
          <w:sz w:val="24"/>
          <w:szCs w:val="24"/>
          <w:lang w:eastAsia="hr-HR"/>
        </w:rPr>
        <w:t>4</w:t>
      </w:r>
      <w:r w:rsidRPr="00A17B6F">
        <w:rPr>
          <w:rFonts w:ascii="Arial" w:eastAsia="Times New Roman" w:hAnsi="Arial" w:cs="Arial"/>
          <w:sz w:val="24"/>
          <w:szCs w:val="24"/>
          <w:lang w:eastAsia="hr-HR"/>
        </w:rPr>
        <w:t>. godine</w:t>
      </w:r>
      <w:r w:rsidRPr="00A17B6F">
        <w:rPr>
          <w:rFonts w:ascii="Times New Roman" w:eastAsia="Times New Roman" w:hAnsi="Times New Roman" w:cs="Arial"/>
          <w:sz w:val="24"/>
          <w:szCs w:val="24"/>
          <w:lang w:eastAsia="hr-HR"/>
        </w:rPr>
        <w:t xml:space="preserve"> </w:t>
      </w:r>
      <w:r w:rsidRPr="00A17B6F">
        <w:rPr>
          <w:rFonts w:ascii="Arial" w:eastAsia="Times New Roman" w:hAnsi="Arial" w:cs="Arial"/>
          <w:sz w:val="24"/>
          <w:szCs w:val="24"/>
          <w:lang w:eastAsia="hr-HR"/>
        </w:rPr>
        <w:t xml:space="preserve">prema izvorima financiranja </w:t>
      </w:r>
    </w:p>
    <w:p w14:paraId="6230E843" w14:textId="1FED2E8D" w:rsidR="00B50575" w:rsidRPr="00A17B6F" w:rsidRDefault="00B50575" w:rsidP="00BF0B60">
      <w:pPr>
        <w:overflowPunct w:val="0"/>
        <w:autoSpaceDE w:val="0"/>
        <w:autoSpaceDN w:val="0"/>
        <w:adjustRightInd w:val="0"/>
        <w:spacing w:after="0" w:line="240" w:lineRule="auto"/>
        <w:ind w:left="1276" w:hanging="1276"/>
        <w:jc w:val="both"/>
        <w:textAlignment w:val="baseline"/>
        <w:rPr>
          <w:rFonts w:ascii="Arial" w:eastAsia="Times New Roman" w:hAnsi="Arial" w:cs="Arial"/>
          <w:sz w:val="16"/>
          <w:szCs w:val="16"/>
          <w:lang w:eastAsia="hr-HR"/>
        </w:rPr>
      </w:pP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Pr="00A17B6F">
        <w:rPr>
          <w:rFonts w:ascii="Arial" w:eastAsia="Times New Roman" w:hAnsi="Arial" w:cs="Arial"/>
          <w:b/>
          <w:sz w:val="10"/>
          <w:szCs w:val="10"/>
          <w:lang w:eastAsia="hr-HR"/>
        </w:rPr>
        <w:tab/>
      </w:r>
      <w:r w:rsidR="00BC1CA7">
        <w:rPr>
          <w:rFonts w:ascii="Arial" w:eastAsia="Times New Roman" w:hAnsi="Arial" w:cs="Arial"/>
          <w:sz w:val="16"/>
          <w:szCs w:val="16"/>
          <w:lang w:eastAsia="hr-HR"/>
        </w:rPr>
        <w:t>-u</w:t>
      </w:r>
      <w:r w:rsidRPr="00A17B6F">
        <w:rPr>
          <w:rFonts w:ascii="Arial" w:eastAsia="Times New Roman" w:hAnsi="Arial" w:cs="Arial"/>
          <w:sz w:val="16"/>
          <w:szCs w:val="16"/>
          <w:lang w:eastAsia="hr-HR"/>
        </w:rPr>
        <w:t xml:space="preserve"> eurima</w:t>
      </w:r>
    </w:p>
    <w:p w14:paraId="46014F02" w14:textId="63C6B00F" w:rsidR="00B50575" w:rsidRPr="00A17B6F" w:rsidRDefault="00B50575" w:rsidP="00BF0B60">
      <w:pPr>
        <w:overflowPunct w:val="0"/>
        <w:autoSpaceDE w:val="0"/>
        <w:autoSpaceDN w:val="0"/>
        <w:adjustRightInd w:val="0"/>
        <w:spacing w:after="0" w:line="240" w:lineRule="auto"/>
        <w:ind w:left="1276" w:hanging="1276"/>
        <w:jc w:val="both"/>
        <w:textAlignment w:val="baseline"/>
        <w:rPr>
          <w:rFonts w:ascii="Arial" w:eastAsia="Times New Roman" w:hAnsi="Arial" w:cs="Arial"/>
          <w:sz w:val="16"/>
          <w:szCs w:val="16"/>
          <w:lang w:eastAsia="hr-HR"/>
        </w:rPr>
      </w:pPr>
    </w:p>
    <w:tbl>
      <w:tblPr>
        <w:tblW w:w="10731" w:type="dxa"/>
        <w:tblInd w:w="-284" w:type="dxa"/>
        <w:tblLook w:val="04A0" w:firstRow="1" w:lastRow="0" w:firstColumn="1" w:lastColumn="0" w:noHBand="0" w:noVBand="1"/>
      </w:tblPr>
      <w:tblGrid>
        <w:gridCol w:w="2411"/>
        <w:gridCol w:w="1276"/>
        <w:gridCol w:w="1363"/>
        <w:gridCol w:w="1363"/>
        <w:gridCol w:w="959"/>
        <w:gridCol w:w="807"/>
        <w:gridCol w:w="1276"/>
        <w:gridCol w:w="1276"/>
      </w:tblGrid>
      <w:tr w:rsidR="00BC1CA7" w:rsidRPr="00A17B6F" w14:paraId="5634A706" w14:textId="77777777" w:rsidTr="00BC1CA7">
        <w:trPr>
          <w:trHeight w:val="510"/>
        </w:trPr>
        <w:tc>
          <w:tcPr>
            <w:tcW w:w="2411" w:type="dxa"/>
            <w:tcBorders>
              <w:top w:val="single" w:sz="4" w:space="0" w:color="auto"/>
              <w:left w:val="nil"/>
              <w:bottom w:val="single" w:sz="4" w:space="0" w:color="auto"/>
              <w:right w:val="nil"/>
            </w:tcBorders>
            <w:shd w:val="clear" w:color="auto" w:fill="auto"/>
            <w:vAlign w:val="center"/>
            <w:hideMark/>
          </w:tcPr>
          <w:p w14:paraId="68D68C1E" w14:textId="77777777" w:rsidR="00BC1CA7" w:rsidRPr="00A17B6F" w:rsidRDefault="00BC1CA7" w:rsidP="00BC1CA7">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Oznaka i naziv izvora financiranja</w:t>
            </w:r>
          </w:p>
        </w:tc>
        <w:tc>
          <w:tcPr>
            <w:tcW w:w="1276" w:type="dxa"/>
            <w:tcBorders>
              <w:top w:val="single" w:sz="4" w:space="0" w:color="auto"/>
              <w:left w:val="nil"/>
              <w:bottom w:val="single" w:sz="4" w:space="0" w:color="auto"/>
              <w:right w:val="nil"/>
            </w:tcBorders>
            <w:shd w:val="clear" w:color="auto" w:fill="auto"/>
            <w:vAlign w:val="center"/>
            <w:hideMark/>
          </w:tcPr>
          <w:p w14:paraId="09CA3AE3" w14:textId="12528B0F" w:rsidR="00BC1CA7" w:rsidRPr="00A17B6F" w:rsidRDefault="00BC1CA7" w:rsidP="00BC1CA7">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Izvršenje 1.-6. 202</w:t>
            </w:r>
            <w:r>
              <w:rPr>
                <w:rFonts w:ascii="Calibri" w:eastAsia="Times New Roman" w:hAnsi="Calibri" w:cs="Calibri"/>
                <w:b/>
                <w:bCs/>
                <w:color w:val="000000"/>
                <w:sz w:val="18"/>
                <w:szCs w:val="18"/>
                <w:lang w:eastAsia="hr-HR"/>
              </w:rPr>
              <w:t>3</w:t>
            </w:r>
            <w:r w:rsidRPr="00A17B6F">
              <w:rPr>
                <w:rFonts w:ascii="Calibri" w:eastAsia="Times New Roman" w:hAnsi="Calibri" w:cs="Calibri"/>
                <w:b/>
                <w:bCs/>
                <w:color w:val="000000"/>
                <w:sz w:val="18"/>
                <w:szCs w:val="18"/>
                <w:lang w:eastAsia="hr-HR"/>
              </w:rPr>
              <w:t xml:space="preserve">. </w:t>
            </w:r>
          </w:p>
        </w:tc>
        <w:tc>
          <w:tcPr>
            <w:tcW w:w="1363" w:type="dxa"/>
            <w:tcBorders>
              <w:top w:val="single" w:sz="4" w:space="0" w:color="auto"/>
              <w:left w:val="nil"/>
              <w:bottom w:val="single" w:sz="4" w:space="0" w:color="auto"/>
              <w:right w:val="nil"/>
            </w:tcBorders>
            <w:shd w:val="clear" w:color="auto" w:fill="auto"/>
            <w:vAlign w:val="center"/>
            <w:hideMark/>
          </w:tcPr>
          <w:p w14:paraId="2E41D4BB" w14:textId="0008E51C" w:rsidR="00BC1CA7" w:rsidRPr="00A17B6F" w:rsidRDefault="00BC1CA7" w:rsidP="00BC1CA7">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 xml:space="preserve">Tekući plan </w:t>
            </w:r>
            <w:r w:rsidRPr="00A17B6F">
              <w:rPr>
                <w:rFonts w:ascii="Calibri" w:eastAsia="Times New Roman" w:hAnsi="Calibri" w:cs="Calibri"/>
                <w:b/>
                <w:bCs/>
                <w:color w:val="000000"/>
                <w:sz w:val="18"/>
                <w:szCs w:val="18"/>
                <w:lang w:eastAsia="hr-HR"/>
              </w:rPr>
              <w:br/>
              <w:t>202</w:t>
            </w:r>
            <w:r>
              <w:rPr>
                <w:rFonts w:ascii="Calibri" w:eastAsia="Times New Roman" w:hAnsi="Calibri" w:cs="Calibri"/>
                <w:b/>
                <w:bCs/>
                <w:color w:val="000000"/>
                <w:sz w:val="18"/>
                <w:szCs w:val="18"/>
                <w:lang w:eastAsia="hr-HR"/>
              </w:rPr>
              <w:t>4</w:t>
            </w:r>
            <w:r w:rsidRPr="00A17B6F">
              <w:rPr>
                <w:rFonts w:ascii="Calibri" w:eastAsia="Times New Roman" w:hAnsi="Calibri" w:cs="Calibri"/>
                <w:b/>
                <w:bCs/>
                <w:color w:val="000000"/>
                <w:sz w:val="18"/>
                <w:szCs w:val="18"/>
                <w:lang w:eastAsia="hr-HR"/>
              </w:rPr>
              <w:t xml:space="preserve">. </w:t>
            </w:r>
          </w:p>
        </w:tc>
        <w:tc>
          <w:tcPr>
            <w:tcW w:w="1363" w:type="dxa"/>
            <w:tcBorders>
              <w:top w:val="single" w:sz="4" w:space="0" w:color="auto"/>
              <w:left w:val="nil"/>
              <w:bottom w:val="single" w:sz="4" w:space="0" w:color="auto"/>
              <w:right w:val="nil"/>
            </w:tcBorders>
            <w:shd w:val="clear" w:color="auto" w:fill="auto"/>
            <w:vAlign w:val="center"/>
            <w:hideMark/>
          </w:tcPr>
          <w:p w14:paraId="2E8AE19A" w14:textId="75BBE0A8" w:rsidR="00BC1CA7" w:rsidRPr="00A17B6F" w:rsidRDefault="00BC1CA7" w:rsidP="00BC1CA7">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Izvršenje 1.-6. 202</w:t>
            </w:r>
            <w:r>
              <w:rPr>
                <w:rFonts w:ascii="Calibri" w:eastAsia="Times New Roman" w:hAnsi="Calibri" w:cs="Calibri"/>
                <w:b/>
                <w:bCs/>
                <w:color w:val="000000"/>
                <w:sz w:val="18"/>
                <w:szCs w:val="18"/>
                <w:lang w:eastAsia="hr-HR"/>
              </w:rPr>
              <w:t>4</w:t>
            </w:r>
            <w:r w:rsidRPr="00A17B6F">
              <w:rPr>
                <w:rFonts w:ascii="Calibri" w:eastAsia="Times New Roman" w:hAnsi="Calibri" w:cs="Calibri"/>
                <w:b/>
                <w:bCs/>
                <w:color w:val="000000"/>
                <w:sz w:val="18"/>
                <w:szCs w:val="18"/>
                <w:lang w:eastAsia="hr-HR"/>
              </w:rPr>
              <w:t xml:space="preserve">. </w:t>
            </w:r>
          </w:p>
        </w:tc>
        <w:tc>
          <w:tcPr>
            <w:tcW w:w="959" w:type="dxa"/>
            <w:tcBorders>
              <w:top w:val="single" w:sz="8" w:space="0" w:color="auto"/>
              <w:left w:val="nil"/>
              <w:bottom w:val="single" w:sz="8" w:space="0" w:color="auto"/>
              <w:right w:val="nil"/>
            </w:tcBorders>
            <w:shd w:val="clear" w:color="auto" w:fill="auto"/>
            <w:vAlign w:val="center"/>
            <w:hideMark/>
          </w:tcPr>
          <w:p w14:paraId="20FD985B" w14:textId="602ABD5B" w:rsidR="00BC1CA7" w:rsidRPr="00BC1CA7" w:rsidRDefault="00BC1CA7" w:rsidP="00BC1CA7">
            <w:pPr>
              <w:spacing w:after="0" w:line="240" w:lineRule="auto"/>
              <w:jc w:val="center"/>
              <w:rPr>
                <w:rFonts w:ascii="Calibri" w:eastAsia="Times New Roman" w:hAnsi="Calibri" w:cs="Calibri"/>
                <w:b/>
                <w:bCs/>
                <w:color w:val="000000"/>
                <w:sz w:val="16"/>
                <w:szCs w:val="16"/>
                <w:lang w:eastAsia="hr-HR"/>
              </w:rPr>
            </w:pPr>
            <w:r w:rsidRPr="00BC1CA7">
              <w:rPr>
                <w:rFonts w:ascii="Calibri" w:eastAsia="Times New Roman" w:hAnsi="Calibri" w:cs="Calibri"/>
                <w:b/>
                <w:bCs/>
                <w:color w:val="000000"/>
                <w:sz w:val="16"/>
                <w:szCs w:val="16"/>
                <w:lang w:eastAsia="hr-HR"/>
              </w:rPr>
              <w:t xml:space="preserve">Indeks Izvršenje </w:t>
            </w:r>
            <w:r w:rsidRPr="00BC1CA7">
              <w:rPr>
                <w:rFonts w:ascii="Calibri" w:eastAsia="Times New Roman" w:hAnsi="Calibri" w:cs="Calibri"/>
                <w:b/>
                <w:bCs/>
                <w:color w:val="000000"/>
                <w:sz w:val="16"/>
                <w:szCs w:val="16"/>
                <w:lang w:eastAsia="hr-HR"/>
              </w:rPr>
              <w:br/>
              <w:t xml:space="preserve">1.-6.2024 / Izvršenje </w:t>
            </w:r>
            <w:r w:rsidRPr="00BC1CA7">
              <w:rPr>
                <w:rFonts w:ascii="Calibri" w:eastAsia="Times New Roman" w:hAnsi="Calibri" w:cs="Calibri"/>
                <w:b/>
                <w:bCs/>
                <w:color w:val="000000"/>
                <w:sz w:val="16"/>
                <w:szCs w:val="16"/>
                <w:lang w:eastAsia="hr-HR"/>
              </w:rPr>
              <w:br/>
              <w:t>1.-6.2023</w:t>
            </w:r>
          </w:p>
        </w:tc>
        <w:tc>
          <w:tcPr>
            <w:tcW w:w="807" w:type="dxa"/>
            <w:tcBorders>
              <w:top w:val="single" w:sz="8" w:space="0" w:color="auto"/>
              <w:left w:val="nil"/>
              <w:bottom w:val="single" w:sz="8" w:space="0" w:color="auto"/>
              <w:right w:val="nil"/>
            </w:tcBorders>
            <w:shd w:val="clear" w:color="auto" w:fill="auto"/>
            <w:vAlign w:val="center"/>
            <w:hideMark/>
          </w:tcPr>
          <w:p w14:paraId="3BCA9282" w14:textId="77F11052" w:rsidR="00BC1CA7" w:rsidRPr="00BC1CA7" w:rsidRDefault="00BC1CA7" w:rsidP="00BC1CA7">
            <w:pPr>
              <w:spacing w:after="0" w:line="240" w:lineRule="auto"/>
              <w:jc w:val="center"/>
              <w:rPr>
                <w:rFonts w:ascii="Calibri" w:eastAsia="Times New Roman" w:hAnsi="Calibri" w:cs="Calibri"/>
                <w:b/>
                <w:bCs/>
                <w:color w:val="000000"/>
                <w:sz w:val="16"/>
                <w:szCs w:val="16"/>
                <w:lang w:eastAsia="hr-HR"/>
              </w:rPr>
            </w:pPr>
            <w:r w:rsidRPr="00BC1CA7">
              <w:rPr>
                <w:rFonts w:ascii="Calibri" w:eastAsia="Times New Roman" w:hAnsi="Calibri" w:cs="Calibri"/>
                <w:b/>
                <w:bCs/>
                <w:color w:val="000000"/>
                <w:sz w:val="16"/>
                <w:szCs w:val="16"/>
                <w:lang w:eastAsia="hr-HR"/>
              </w:rPr>
              <w:t xml:space="preserve">Indeks Izvršenje </w:t>
            </w:r>
            <w:r w:rsidRPr="00BC1CA7">
              <w:rPr>
                <w:rFonts w:ascii="Calibri" w:eastAsia="Times New Roman" w:hAnsi="Calibri" w:cs="Calibri"/>
                <w:b/>
                <w:bCs/>
                <w:color w:val="000000"/>
                <w:sz w:val="16"/>
                <w:szCs w:val="16"/>
                <w:lang w:eastAsia="hr-HR"/>
              </w:rPr>
              <w:br/>
              <w:t>1.-6.2024 / Tekući plan 2024</w:t>
            </w:r>
          </w:p>
        </w:tc>
        <w:tc>
          <w:tcPr>
            <w:tcW w:w="1276" w:type="dxa"/>
            <w:tcBorders>
              <w:top w:val="single" w:sz="4" w:space="0" w:color="auto"/>
              <w:left w:val="nil"/>
              <w:bottom w:val="single" w:sz="4" w:space="0" w:color="auto"/>
              <w:right w:val="nil"/>
            </w:tcBorders>
            <w:shd w:val="clear" w:color="auto" w:fill="auto"/>
            <w:vAlign w:val="center"/>
            <w:hideMark/>
          </w:tcPr>
          <w:p w14:paraId="65634896" w14:textId="77777777" w:rsidR="00BC1CA7" w:rsidRPr="00A17B6F" w:rsidRDefault="00BC1CA7" w:rsidP="00BC1CA7">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Županijski rashodi</w:t>
            </w:r>
          </w:p>
        </w:tc>
        <w:tc>
          <w:tcPr>
            <w:tcW w:w="1276" w:type="dxa"/>
            <w:tcBorders>
              <w:top w:val="single" w:sz="4" w:space="0" w:color="auto"/>
              <w:left w:val="nil"/>
              <w:bottom w:val="single" w:sz="4" w:space="0" w:color="auto"/>
              <w:right w:val="nil"/>
            </w:tcBorders>
            <w:shd w:val="clear" w:color="auto" w:fill="auto"/>
            <w:vAlign w:val="center"/>
            <w:hideMark/>
          </w:tcPr>
          <w:p w14:paraId="2CE487A6" w14:textId="77777777" w:rsidR="00BC1CA7" w:rsidRPr="00A17B6F" w:rsidRDefault="00BC1CA7" w:rsidP="00BC1CA7">
            <w:pPr>
              <w:spacing w:after="0" w:line="240" w:lineRule="auto"/>
              <w:jc w:val="center"/>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Rashodi županijskih korisnika</w:t>
            </w:r>
          </w:p>
        </w:tc>
      </w:tr>
      <w:tr w:rsidR="009E3414" w:rsidRPr="00A17B6F" w14:paraId="1B917510" w14:textId="77777777" w:rsidTr="00BC1CA7">
        <w:trPr>
          <w:trHeight w:val="225"/>
        </w:trPr>
        <w:tc>
          <w:tcPr>
            <w:tcW w:w="2411" w:type="dxa"/>
            <w:tcBorders>
              <w:top w:val="nil"/>
              <w:left w:val="nil"/>
              <w:bottom w:val="single" w:sz="4" w:space="0" w:color="auto"/>
              <w:right w:val="nil"/>
            </w:tcBorders>
            <w:shd w:val="clear" w:color="auto" w:fill="auto"/>
            <w:noWrap/>
            <w:vAlign w:val="bottom"/>
            <w:hideMark/>
          </w:tcPr>
          <w:p w14:paraId="3CF8621A"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1</w:t>
            </w:r>
          </w:p>
        </w:tc>
        <w:tc>
          <w:tcPr>
            <w:tcW w:w="1276" w:type="dxa"/>
            <w:tcBorders>
              <w:top w:val="nil"/>
              <w:left w:val="nil"/>
              <w:bottom w:val="single" w:sz="4" w:space="0" w:color="auto"/>
              <w:right w:val="nil"/>
            </w:tcBorders>
            <w:shd w:val="clear" w:color="auto" w:fill="auto"/>
            <w:noWrap/>
            <w:vAlign w:val="bottom"/>
            <w:hideMark/>
          </w:tcPr>
          <w:p w14:paraId="1FD85FE1"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2</w:t>
            </w:r>
          </w:p>
        </w:tc>
        <w:tc>
          <w:tcPr>
            <w:tcW w:w="1363" w:type="dxa"/>
            <w:tcBorders>
              <w:top w:val="nil"/>
              <w:left w:val="nil"/>
              <w:bottom w:val="single" w:sz="4" w:space="0" w:color="auto"/>
              <w:right w:val="nil"/>
            </w:tcBorders>
            <w:shd w:val="clear" w:color="auto" w:fill="auto"/>
            <w:noWrap/>
            <w:vAlign w:val="bottom"/>
            <w:hideMark/>
          </w:tcPr>
          <w:p w14:paraId="4AE30BCF"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3</w:t>
            </w:r>
          </w:p>
        </w:tc>
        <w:tc>
          <w:tcPr>
            <w:tcW w:w="1363" w:type="dxa"/>
            <w:tcBorders>
              <w:top w:val="nil"/>
              <w:left w:val="nil"/>
              <w:bottom w:val="single" w:sz="4" w:space="0" w:color="auto"/>
              <w:right w:val="nil"/>
            </w:tcBorders>
            <w:shd w:val="clear" w:color="auto" w:fill="auto"/>
            <w:noWrap/>
            <w:vAlign w:val="bottom"/>
            <w:hideMark/>
          </w:tcPr>
          <w:p w14:paraId="0348F293"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4</w:t>
            </w:r>
          </w:p>
        </w:tc>
        <w:tc>
          <w:tcPr>
            <w:tcW w:w="959" w:type="dxa"/>
            <w:tcBorders>
              <w:top w:val="nil"/>
              <w:left w:val="nil"/>
              <w:bottom w:val="single" w:sz="4" w:space="0" w:color="auto"/>
              <w:right w:val="nil"/>
            </w:tcBorders>
            <w:shd w:val="clear" w:color="auto" w:fill="auto"/>
            <w:noWrap/>
            <w:vAlign w:val="bottom"/>
            <w:hideMark/>
          </w:tcPr>
          <w:p w14:paraId="208E93DF"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5(4/2)</w:t>
            </w:r>
          </w:p>
        </w:tc>
        <w:tc>
          <w:tcPr>
            <w:tcW w:w="807" w:type="dxa"/>
            <w:tcBorders>
              <w:top w:val="nil"/>
              <w:left w:val="nil"/>
              <w:bottom w:val="single" w:sz="4" w:space="0" w:color="auto"/>
              <w:right w:val="nil"/>
            </w:tcBorders>
            <w:shd w:val="clear" w:color="auto" w:fill="auto"/>
            <w:noWrap/>
            <w:vAlign w:val="bottom"/>
            <w:hideMark/>
          </w:tcPr>
          <w:p w14:paraId="18CB9AC6"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6(4/3)</w:t>
            </w:r>
          </w:p>
        </w:tc>
        <w:tc>
          <w:tcPr>
            <w:tcW w:w="1276" w:type="dxa"/>
            <w:tcBorders>
              <w:top w:val="nil"/>
              <w:left w:val="nil"/>
              <w:bottom w:val="single" w:sz="4" w:space="0" w:color="auto"/>
              <w:right w:val="nil"/>
            </w:tcBorders>
            <w:shd w:val="clear" w:color="auto" w:fill="auto"/>
            <w:noWrap/>
            <w:vAlign w:val="bottom"/>
            <w:hideMark/>
          </w:tcPr>
          <w:p w14:paraId="55FD505B"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7</w:t>
            </w:r>
          </w:p>
        </w:tc>
        <w:tc>
          <w:tcPr>
            <w:tcW w:w="1276" w:type="dxa"/>
            <w:tcBorders>
              <w:top w:val="nil"/>
              <w:left w:val="nil"/>
              <w:bottom w:val="single" w:sz="4" w:space="0" w:color="auto"/>
              <w:right w:val="nil"/>
            </w:tcBorders>
            <w:shd w:val="clear" w:color="auto" w:fill="auto"/>
            <w:noWrap/>
            <w:vAlign w:val="bottom"/>
            <w:hideMark/>
          </w:tcPr>
          <w:p w14:paraId="72009643" w14:textId="77777777" w:rsidR="009E3414" w:rsidRPr="00A17B6F" w:rsidRDefault="009E3414" w:rsidP="009E3414">
            <w:pPr>
              <w:spacing w:after="0" w:line="240" w:lineRule="auto"/>
              <w:jc w:val="center"/>
              <w:rPr>
                <w:rFonts w:ascii="Calibri" w:eastAsia="Times New Roman" w:hAnsi="Calibri" w:cs="Calibri"/>
                <w:i/>
                <w:iCs/>
                <w:color w:val="000000"/>
                <w:sz w:val="18"/>
                <w:szCs w:val="18"/>
                <w:lang w:eastAsia="hr-HR"/>
              </w:rPr>
            </w:pPr>
            <w:r w:rsidRPr="00A17B6F">
              <w:rPr>
                <w:rFonts w:ascii="Calibri" w:eastAsia="Times New Roman" w:hAnsi="Calibri" w:cs="Calibri"/>
                <w:i/>
                <w:iCs/>
                <w:color w:val="000000"/>
                <w:sz w:val="18"/>
                <w:szCs w:val="18"/>
                <w:lang w:eastAsia="hr-HR"/>
              </w:rPr>
              <w:t>8</w:t>
            </w:r>
          </w:p>
        </w:tc>
      </w:tr>
      <w:tr w:rsidR="009E3414" w:rsidRPr="00A17B6F" w14:paraId="739AC2BC" w14:textId="77777777" w:rsidTr="00BC1CA7">
        <w:trPr>
          <w:trHeight w:val="255"/>
        </w:trPr>
        <w:tc>
          <w:tcPr>
            <w:tcW w:w="2411" w:type="dxa"/>
            <w:tcBorders>
              <w:top w:val="nil"/>
              <w:left w:val="nil"/>
              <w:bottom w:val="nil"/>
              <w:right w:val="nil"/>
            </w:tcBorders>
            <w:shd w:val="clear" w:color="000000" w:fill="FFFFFF"/>
            <w:vAlign w:val="center"/>
            <w:hideMark/>
          </w:tcPr>
          <w:p w14:paraId="3644AFDE"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Izvor: 1 Opći prihodi i primici</w:t>
            </w:r>
          </w:p>
        </w:tc>
        <w:tc>
          <w:tcPr>
            <w:tcW w:w="1276" w:type="dxa"/>
            <w:tcBorders>
              <w:top w:val="nil"/>
              <w:left w:val="nil"/>
              <w:bottom w:val="nil"/>
              <w:right w:val="nil"/>
            </w:tcBorders>
            <w:shd w:val="clear" w:color="000000" w:fill="FFFFFF"/>
            <w:vAlign w:val="center"/>
            <w:hideMark/>
          </w:tcPr>
          <w:p w14:paraId="041BB550"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13.801.408,46</w:t>
            </w:r>
          </w:p>
        </w:tc>
        <w:tc>
          <w:tcPr>
            <w:tcW w:w="1363" w:type="dxa"/>
            <w:tcBorders>
              <w:top w:val="nil"/>
              <w:left w:val="nil"/>
              <w:bottom w:val="nil"/>
              <w:right w:val="nil"/>
            </w:tcBorders>
            <w:shd w:val="clear" w:color="000000" w:fill="FFFFFF"/>
            <w:vAlign w:val="center"/>
            <w:hideMark/>
          </w:tcPr>
          <w:p w14:paraId="3607737D"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67.038.923,94</w:t>
            </w:r>
          </w:p>
        </w:tc>
        <w:tc>
          <w:tcPr>
            <w:tcW w:w="1363" w:type="dxa"/>
            <w:tcBorders>
              <w:top w:val="nil"/>
              <w:left w:val="nil"/>
              <w:bottom w:val="nil"/>
              <w:right w:val="nil"/>
            </w:tcBorders>
            <w:shd w:val="clear" w:color="000000" w:fill="FFFFFF"/>
            <w:vAlign w:val="center"/>
            <w:hideMark/>
          </w:tcPr>
          <w:p w14:paraId="56E64971"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17.792.000,04</w:t>
            </w:r>
          </w:p>
        </w:tc>
        <w:tc>
          <w:tcPr>
            <w:tcW w:w="959" w:type="dxa"/>
            <w:tcBorders>
              <w:top w:val="nil"/>
              <w:left w:val="nil"/>
              <w:bottom w:val="nil"/>
              <w:right w:val="nil"/>
            </w:tcBorders>
            <w:shd w:val="clear" w:color="000000" w:fill="FFFFFF"/>
            <w:vAlign w:val="center"/>
            <w:hideMark/>
          </w:tcPr>
          <w:p w14:paraId="5B9C556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128,91</w:t>
            </w:r>
          </w:p>
        </w:tc>
        <w:tc>
          <w:tcPr>
            <w:tcW w:w="807" w:type="dxa"/>
            <w:tcBorders>
              <w:top w:val="nil"/>
              <w:left w:val="nil"/>
              <w:bottom w:val="nil"/>
              <w:right w:val="nil"/>
            </w:tcBorders>
            <w:shd w:val="clear" w:color="000000" w:fill="FFFFFF"/>
            <w:vAlign w:val="center"/>
            <w:hideMark/>
          </w:tcPr>
          <w:p w14:paraId="1784689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26,54</w:t>
            </w:r>
          </w:p>
        </w:tc>
        <w:tc>
          <w:tcPr>
            <w:tcW w:w="1276" w:type="dxa"/>
            <w:tcBorders>
              <w:top w:val="nil"/>
              <w:left w:val="nil"/>
              <w:bottom w:val="nil"/>
              <w:right w:val="nil"/>
            </w:tcBorders>
            <w:shd w:val="clear" w:color="000000" w:fill="FFFFFF"/>
            <w:vAlign w:val="center"/>
            <w:hideMark/>
          </w:tcPr>
          <w:p w14:paraId="4DAC65F5"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17.792.000,04</w:t>
            </w:r>
          </w:p>
        </w:tc>
        <w:tc>
          <w:tcPr>
            <w:tcW w:w="1276" w:type="dxa"/>
            <w:tcBorders>
              <w:top w:val="nil"/>
              <w:left w:val="nil"/>
              <w:bottom w:val="nil"/>
              <w:right w:val="nil"/>
            </w:tcBorders>
            <w:shd w:val="clear" w:color="000000" w:fill="FFFFFF"/>
            <w:vAlign w:val="center"/>
            <w:hideMark/>
          </w:tcPr>
          <w:p w14:paraId="69D0355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0,00</w:t>
            </w:r>
          </w:p>
        </w:tc>
      </w:tr>
      <w:tr w:rsidR="009E3414" w:rsidRPr="00A17B6F" w14:paraId="756E9E3F" w14:textId="77777777" w:rsidTr="00BC1CA7">
        <w:trPr>
          <w:trHeight w:val="255"/>
        </w:trPr>
        <w:tc>
          <w:tcPr>
            <w:tcW w:w="2411" w:type="dxa"/>
            <w:tcBorders>
              <w:top w:val="nil"/>
              <w:left w:val="nil"/>
              <w:bottom w:val="nil"/>
              <w:right w:val="nil"/>
            </w:tcBorders>
            <w:shd w:val="clear" w:color="000000" w:fill="FFFFFF"/>
            <w:vAlign w:val="center"/>
            <w:hideMark/>
          </w:tcPr>
          <w:p w14:paraId="132DA3BB"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Izvor: 3 Vlastiti prihodi</w:t>
            </w:r>
          </w:p>
        </w:tc>
        <w:tc>
          <w:tcPr>
            <w:tcW w:w="1276" w:type="dxa"/>
            <w:tcBorders>
              <w:top w:val="nil"/>
              <w:left w:val="nil"/>
              <w:bottom w:val="nil"/>
              <w:right w:val="nil"/>
            </w:tcBorders>
            <w:shd w:val="clear" w:color="000000" w:fill="FFFFFF"/>
            <w:vAlign w:val="center"/>
            <w:hideMark/>
          </w:tcPr>
          <w:p w14:paraId="58EEF31B"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5.884.495,05</w:t>
            </w:r>
          </w:p>
        </w:tc>
        <w:tc>
          <w:tcPr>
            <w:tcW w:w="1363" w:type="dxa"/>
            <w:tcBorders>
              <w:top w:val="nil"/>
              <w:left w:val="nil"/>
              <w:bottom w:val="nil"/>
              <w:right w:val="nil"/>
            </w:tcBorders>
            <w:shd w:val="clear" w:color="000000" w:fill="FFFFFF"/>
            <w:vAlign w:val="center"/>
            <w:hideMark/>
          </w:tcPr>
          <w:p w14:paraId="61F1392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17.804.789,72</w:t>
            </w:r>
          </w:p>
        </w:tc>
        <w:tc>
          <w:tcPr>
            <w:tcW w:w="1363" w:type="dxa"/>
            <w:tcBorders>
              <w:top w:val="nil"/>
              <w:left w:val="nil"/>
              <w:bottom w:val="nil"/>
              <w:right w:val="nil"/>
            </w:tcBorders>
            <w:shd w:val="clear" w:color="000000" w:fill="FFFFFF"/>
            <w:vAlign w:val="center"/>
            <w:hideMark/>
          </w:tcPr>
          <w:p w14:paraId="7E2AB860"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7.534.593,68</w:t>
            </w:r>
          </w:p>
        </w:tc>
        <w:tc>
          <w:tcPr>
            <w:tcW w:w="959" w:type="dxa"/>
            <w:tcBorders>
              <w:top w:val="nil"/>
              <w:left w:val="nil"/>
              <w:bottom w:val="nil"/>
              <w:right w:val="nil"/>
            </w:tcBorders>
            <w:shd w:val="clear" w:color="000000" w:fill="FFFFFF"/>
            <w:vAlign w:val="center"/>
            <w:hideMark/>
          </w:tcPr>
          <w:p w14:paraId="47F03CF3"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128,04</w:t>
            </w:r>
          </w:p>
        </w:tc>
        <w:tc>
          <w:tcPr>
            <w:tcW w:w="807" w:type="dxa"/>
            <w:tcBorders>
              <w:top w:val="nil"/>
              <w:left w:val="nil"/>
              <w:bottom w:val="nil"/>
              <w:right w:val="nil"/>
            </w:tcBorders>
            <w:shd w:val="clear" w:color="000000" w:fill="FFFFFF"/>
            <w:vAlign w:val="center"/>
            <w:hideMark/>
          </w:tcPr>
          <w:p w14:paraId="665F1CB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42,32</w:t>
            </w:r>
          </w:p>
        </w:tc>
        <w:tc>
          <w:tcPr>
            <w:tcW w:w="1276" w:type="dxa"/>
            <w:tcBorders>
              <w:top w:val="nil"/>
              <w:left w:val="nil"/>
              <w:bottom w:val="nil"/>
              <w:right w:val="nil"/>
            </w:tcBorders>
            <w:shd w:val="clear" w:color="000000" w:fill="FFFFFF"/>
            <w:vAlign w:val="center"/>
            <w:hideMark/>
          </w:tcPr>
          <w:p w14:paraId="69DD0AD7"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0,00</w:t>
            </w:r>
          </w:p>
        </w:tc>
        <w:tc>
          <w:tcPr>
            <w:tcW w:w="1276" w:type="dxa"/>
            <w:tcBorders>
              <w:top w:val="nil"/>
              <w:left w:val="nil"/>
              <w:bottom w:val="nil"/>
              <w:right w:val="nil"/>
            </w:tcBorders>
            <w:shd w:val="clear" w:color="000000" w:fill="FFFFFF"/>
            <w:vAlign w:val="center"/>
            <w:hideMark/>
          </w:tcPr>
          <w:p w14:paraId="5FF5D80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7.534.593,68</w:t>
            </w:r>
          </w:p>
        </w:tc>
      </w:tr>
      <w:tr w:rsidR="009E3414" w:rsidRPr="00A17B6F" w14:paraId="6846E858" w14:textId="77777777" w:rsidTr="00BC1CA7">
        <w:trPr>
          <w:trHeight w:val="255"/>
        </w:trPr>
        <w:tc>
          <w:tcPr>
            <w:tcW w:w="2411" w:type="dxa"/>
            <w:tcBorders>
              <w:top w:val="nil"/>
              <w:left w:val="nil"/>
              <w:bottom w:val="nil"/>
              <w:right w:val="nil"/>
            </w:tcBorders>
            <w:shd w:val="clear" w:color="000000" w:fill="FFFFFF"/>
            <w:vAlign w:val="center"/>
            <w:hideMark/>
          </w:tcPr>
          <w:p w14:paraId="2FB9DF2F"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Izvor: 4 Prihodi za posebne namjene</w:t>
            </w:r>
          </w:p>
        </w:tc>
        <w:tc>
          <w:tcPr>
            <w:tcW w:w="1276" w:type="dxa"/>
            <w:tcBorders>
              <w:top w:val="nil"/>
              <w:left w:val="nil"/>
              <w:bottom w:val="nil"/>
              <w:right w:val="nil"/>
            </w:tcBorders>
            <w:shd w:val="clear" w:color="000000" w:fill="FFFFFF"/>
            <w:vAlign w:val="center"/>
            <w:hideMark/>
          </w:tcPr>
          <w:p w14:paraId="08B3D12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39.914.784,62</w:t>
            </w:r>
          </w:p>
        </w:tc>
        <w:tc>
          <w:tcPr>
            <w:tcW w:w="1363" w:type="dxa"/>
            <w:tcBorders>
              <w:top w:val="nil"/>
              <w:left w:val="nil"/>
              <w:bottom w:val="nil"/>
              <w:right w:val="nil"/>
            </w:tcBorders>
            <w:shd w:val="clear" w:color="000000" w:fill="FFFFFF"/>
            <w:vAlign w:val="center"/>
            <w:hideMark/>
          </w:tcPr>
          <w:p w14:paraId="756AF4FE"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96.762.580,12</w:t>
            </w:r>
          </w:p>
        </w:tc>
        <w:tc>
          <w:tcPr>
            <w:tcW w:w="1363" w:type="dxa"/>
            <w:tcBorders>
              <w:top w:val="nil"/>
              <w:left w:val="nil"/>
              <w:bottom w:val="nil"/>
              <w:right w:val="nil"/>
            </w:tcBorders>
            <w:shd w:val="clear" w:color="000000" w:fill="FFFFFF"/>
            <w:vAlign w:val="center"/>
            <w:hideMark/>
          </w:tcPr>
          <w:p w14:paraId="2345A6D7"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46.580.181,49</w:t>
            </w:r>
          </w:p>
        </w:tc>
        <w:tc>
          <w:tcPr>
            <w:tcW w:w="959" w:type="dxa"/>
            <w:tcBorders>
              <w:top w:val="nil"/>
              <w:left w:val="nil"/>
              <w:bottom w:val="nil"/>
              <w:right w:val="nil"/>
            </w:tcBorders>
            <w:shd w:val="clear" w:color="000000" w:fill="FFFFFF"/>
            <w:vAlign w:val="center"/>
            <w:hideMark/>
          </w:tcPr>
          <w:p w14:paraId="421E559B"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116,70</w:t>
            </w:r>
          </w:p>
        </w:tc>
        <w:tc>
          <w:tcPr>
            <w:tcW w:w="807" w:type="dxa"/>
            <w:tcBorders>
              <w:top w:val="nil"/>
              <w:left w:val="nil"/>
              <w:bottom w:val="nil"/>
              <w:right w:val="nil"/>
            </w:tcBorders>
            <w:shd w:val="clear" w:color="000000" w:fill="FFFFFF"/>
            <w:vAlign w:val="center"/>
            <w:hideMark/>
          </w:tcPr>
          <w:p w14:paraId="20C6EA6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48,14</w:t>
            </w:r>
          </w:p>
        </w:tc>
        <w:tc>
          <w:tcPr>
            <w:tcW w:w="1276" w:type="dxa"/>
            <w:tcBorders>
              <w:top w:val="nil"/>
              <w:left w:val="nil"/>
              <w:bottom w:val="nil"/>
              <w:right w:val="nil"/>
            </w:tcBorders>
            <w:shd w:val="clear" w:color="000000" w:fill="FFFFFF"/>
            <w:vAlign w:val="center"/>
            <w:hideMark/>
          </w:tcPr>
          <w:p w14:paraId="0A1C76F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5.971.396,16</w:t>
            </w:r>
          </w:p>
        </w:tc>
        <w:tc>
          <w:tcPr>
            <w:tcW w:w="1276" w:type="dxa"/>
            <w:tcBorders>
              <w:top w:val="nil"/>
              <w:left w:val="nil"/>
              <w:bottom w:val="nil"/>
              <w:right w:val="nil"/>
            </w:tcBorders>
            <w:shd w:val="clear" w:color="000000" w:fill="FFFFFF"/>
            <w:vAlign w:val="center"/>
            <w:hideMark/>
          </w:tcPr>
          <w:p w14:paraId="010CEF5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40.608.785,33</w:t>
            </w:r>
          </w:p>
        </w:tc>
      </w:tr>
      <w:tr w:rsidR="009E3414" w:rsidRPr="00A17B6F" w14:paraId="22D27BD9" w14:textId="77777777" w:rsidTr="00BC1CA7">
        <w:trPr>
          <w:trHeight w:val="255"/>
        </w:trPr>
        <w:tc>
          <w:tcPr>
            <w:tcW w:w="2411" w:type="dxa"/>
            <w:tcBorders>
              <w:top w:val="nil"/>
              <w:left w:val="nil"/>
              <w:bottom w:val="nil"/>
              <w:right w:val="nil"/>
            </w:tcBorders>
            <w:shd w:val="clear" w:color="000000" w:fill="FFFFFF"/>
            <w:vAlign w:val="center"/>
            <w:hideMark/>
          </w:tcPr>
          <w:p w14:paraId="034C6EF6"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Izvor: 5 Pomoći</w:t>
            </w:r>
          </w:p>
        </w:tc>
        <w:tc>
          <w:tcPr>
            <w:tcW w:w="1276" w:type="dxa"/>
            <w:tcBorders>
              <w:top w:val="nil"/>
              <w:left w:val="nil"/>
              <w:bottom w:val="nil"/>
              <w:right w:val="nil"/>
            </w:tcBorders>
            <w:shd w:val="clear" w:color="000000" w:fill="FFFFFF"/>
            <w:vAlign w:val="center"/>
            <w:hideMark/>
          </w:tcPr>
          <w:p w14:paraId="26497D07"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39.327.817,30</w:t>
            </w:r>
          </w:p>
        </w:tc>
        <w:tc>
          <w:tcPr>
            <w:tcW w:w="1363" w:type="dxa"/>
            <w:tcBorders>
              <w:top w:val="nil"/>
              <w:left w:val="nil"/>
              <w:bottom w:val="nil"/>
              <w:right w:val="nil"/>
            </w:tcBorders>
            <w:shd w:val="clear" w:color="000000" w:fill="FFFFFF"/>
            <w:vAlign w:val="center"/>
            <w:hideMark/>
          </w:tcPr>
          <w:p w14:paraId="6C4E4F15"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104.845.631,21</w:t>
            </w:r>
          </w:p>
        </w:tc>
        <w:tc>
          <w:tcPr>
            <w:tcW w:w="1363" w:type="dxa"/>
            <w:tcBorders>
              <w:top w:val="nil"/>
              <w:left w:val="nil"/>
              <w:bottom w:val="nil"/>
              <w:right w:val="nil"/>
            </w:tcBorders>
            <w:shd w:val="clear" w:color="000000" w:fill="FFFFFF"/>
            <w:vAlign w:val="center"/>
            <w:hideMark/>
          </w:tcPr>
          <w:p w14:paraId="133CCBCC"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48.470.544,06</w:t>
            </w:r>
          </w:p>
        </w:tc>
        <w:tc>
          <w:tcPr>
            <w:tcW w:w="959" w:type="dxa"/>
            <w:tcBorders>
              <w:top w:val="nil"/>
              <w:left w:val="nil"/>
              <w:bottom w:val="nil"/>
              <w:right w:val="nil"/>
            </w:tcBorders>
            <w:shd w:val="clear" w:color="000000" w:fill="FFFFFF"/>
            <w:vAlign w:val="center"/>
            <w:hideMark/>
          </w:tcPr>
          <w:p w14:paraId="1E630BA1"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123,25</w:t>
            </w:r>
          </w:p>
        </w:tc>
        <w:tc>
          <w:tcPr>
            <w:tcW w:w="807" w:type="dxa"/>
            <w:tcBorders>
              <w:top w:val="nil"/>
              <w:left w:val="nil"/>
              <w:bottom w:val="nil"/>
              <w:right w:val="nil"/>
            </w:tcBorders>
            <w:shd w:val="clear" w:color="000000" w:fill="FFFFFF"/>
            <w:vAlign w:val="center"/>
            <w:hideMark/>
          </w:tcPr>
          <w:p w14:paraId="58C1F402"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46,23</w:t>
            </w:r>
          </w:p>
        </w:tc>
        <w:tc>
          <w:tcPr>
            <w:tcW w:w="1276" w:type="dxa"/>
            <w:tcBorders>
              <w:top w:val="nil"/>
              <w:left w:val="nil"/>
              <w:bottom w:val="nil"/>
              <w:right w:val="nil"/>
            </w:tcBorders>
            <w:shd w:val="clear" w:color="000000" w:fill="FFFFFF"/>
            <w:vAlign w:val="center"/>
            <w:hideMark/>
          </w:tcPr>
          <w:p w14:paraId="23BAC65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1.343.171,36</w:t>
            </w:r>
          </w:p>
        </w:tc>
        <w:tc>
          <w:tcPr>
            <w:tcW w:w="1276" w:type="dxa"/>
            <w:tcBorders>
              <w:top w:val="nil"/>
              <w:left w:val="nil"/>
              <w:bottom w:val="nil"/>
              <w:right w:val="nil"/>
            </w:tcBorders>
            <w:shd w:val="clear" w:color="000000" w:fill="FFFFFF"/>
            <w:vAlign w:val="center"/>
            <w:hideMark/>
          </w:tcPr>
          <w:p w14:paraId="4F58F597"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47.127.372,70</w:t>
            </w:r>
          </w:p>
        </w:tc>
      </w:tr>
      <w:tr w:rsidR="009E3414" w:rsidRPr="00A17B6F" w14:paraId="2348C3B2" w14:textId="77777777" w:rsidTr="00BC1CA7">
        <w:trPr>
          <w:trHeight w:val="255"/>
        </w:trPr>
        <w:tc>
          <w:tcPr>
            <w:tcW w:w="2411" w:type="dxa"/>
            <w:tcBorders>
              <w:top w:val="nil"/>
              <w:left w:val="nil"/>
              <w:bottom w:val="nil"/>
              <w:right w:val="nil"/>
            </w:tcBorders>
            <w:shd w:val="clear" w:color="000000" w:fill="FFFFFF"/>
            <w:vAlign w:val="center"/>
            <w:hideMark/>
          </w:tcPr>
          <w:p w14:paraId="7FE5ED13"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Izvor: 6 Donacije</w:t>
            </w:r>
          </w:p>
        </w:tc>
        <w:tc>
          <w:tcPr>
            <w:tcW w:w="1276" w:type="dxa"/>
            <w:tcBorders>
              <w:top w:val="nil"/>
              <w:left w:val="nil"/>
              <w:bottom w:val="nil"/>
              <w:right w:val="nil"/>
            </w:tcBorders>
            <w:shd w:val="clear" w:color="000000" w:fill="FFFFFF"/>
            <w:vAlign w:val="center"/>
            <w:hideMark/>
          </w:tcPr>
          <w:p w14:paraId="32C4E96A"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348.135,21</w:t>
            </w:r>
          </w:p>
        </w:tc>
        <w:tc>
          <w:tcPr>
            <w:tcW w:w="1363" w:type="dxa"/>
            <w:tcBorders>
              <w:top w:val="nil"/>
              <w:left w:val="nil"/>
              <w:bottom w:val="nil"/>
              <w:right w:val="nil"/>
            </w:tcBorders>
            <w:shd w:val="clear" w:color="000000" w:fill="FFFFFF"/>
            <w:vAlign w:val="center"/>
            <w:hideMark/>
          </w:tcPr>
          <w:p w14:paraId="473B568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574.046,88</w:t>
            </w:r>
          </w:p>
        </w:tc>
        <w:tc>
          <w:tcPr>
            <w:tcW w:w="1363" w:type="dxa"/>
            <w:tcBorders>
              <w:top w:val="nil"/>
              <w:left w:val="nil"/>
              <w:bottom w:val="nil"/>
              <w:right w:val="nil"/>
            </w:tcBorders>
            <w:shd w:val="clear" w:color="000000" w:fill="FFFFFF"/>
            <w:vAlign w:val="center"/>
            <w:hideMark/>
          </w:tcPr>
          <w:p w14:paraId="4A7477A0"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102.286,18</w:t>
            </w:r>
          </w:p>
        </w:tc>
        <w:tc>
          <w:tcPr>
            <w:tcW w:w="959" w:type="dxa"/>
            <w:tcBorders>
              <w:top w:val="nil"/>
              <w:left w:val="nil"/>
              <w:bottom w:val="nil"/>
              <w:right w:val="nil"/>
            </w:tcBorders>
            <w:shd w:val="clear" w:color="000000" w:fill="FFFFFF"/>
            <w:vAlign w:val="center"/>
            <w:hideMark/>
          </w:tcPr>
          <w:p w14:paraId="711E207F"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29,38</w:t>
            </w:r>
          </w:p>
        </w:tc>
        <w:tc>
          <w:tcPr>
            <w:tcW w:w="807" w:type="dxa"/>
            <w:tcBorders>
              <w:top w:val="nil"/>
              <w:left w:val="nil"/>
              <w:bottom w:val="nil"/>
              <w:right w:val="nil"/>
            </w:tcBorders>
            <w:shd w:val="clear" w:color="000000" w:fill="FFFFFF"/>
            <w:vAlign w:val="center"/>
            <w:hideMark/>
          </w:tcPr>
          <w:p w14:paraId="2BD18D2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17,82</w:t>
            </w:r>
          </w:p>
        </w:tc>
        <w:tc>
          <w:tcPr>
            <w:tcW w:w="1276" w:type="dxa"/>
            <w:tcBorders>
              <w:top w:val="nil"/>
              <w:left w:val="nil"/>
              <w:bottom w:val="nil"/>
              <w:right w:val="nil"/>
            </w:tcBorders>
            <w:shd w:val="clear" w:color="000000" w:fill="FFFFFF"/>
            <w:vAlign w:val="center"/>
            <w:hideMark/>
          </w:tcPr>
          <w:p w14:paraId="2120723A"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0,00</w:t>
            </w:r>
          </w:p>
        </w:tc>
        <w:tc>
          <w:tcPr>
            <w:tcW w:w="1276" w:type="dxa"/>
            <w:tcBorders>
              <w:top w:val="nil"/>
              <w:left w:val="nil"/>
              <w:bottom w:val="nil"/>
              <w:right w:val="nil"/>
            </w:tcBorders>
            <w:shd w:val="clear" w:color="000000" w:fill="FFFFFF"/>
            <w:vAlign w:val="center"/>
            <w:hideMark/>
          </w:tcPr>
          <w:p w14:paraId="74CACDDE"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102.286,18</w:t>
            </w:r>
          </w:p>
        </w:tc>
      </w:tr>
      <w:tr w:rsidR="009E3414" w:rsidRPr="00A17B6F" w14:paraId="1E5E2D86" w14:textId="77777777" w:rsidTr="00BC1CA7">
        <w:trPr>
          <w:trHeight w:val="510"/>
        </w:trPr>
        <w:tc>
          <w:tcPr>
            <w:tcW w:w="2411" w:type="dxa"/>
            <w:tcBorders>
              <w:top w:val="nil"/>
              <w:left w:val="nil"/>
              <w:bottom w:val="nil"/>
              <w:right w:val="nil"/>
            </w:tcBorders>
            <w:shd w:val="clear" w:color="000000" w:fill="FFFFFF"/>
            <w:vAlign w:val="center"/>
            <w:hideMark/>
          </w:tcPr>
          <w:p w14:paraId="39885BDB"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 xml:space="preserve">Izvor: 7 Prihodi od prodaje ili zamjene nefin. imovine </w:t>
            </w:r>
          </w:p>
        </w:tc>
        <w:tc>
          <w:tcPr>
            <w:tcW w:w="1276" w:type="dxa"/>
            <w:tcBorders>
              <w:top w:val="nil"/>
              <w:left w:val="nil"/>
              <w:bottom w:val="nil"/>
              <w:right w:val="nil"/>
            </w:tcBorders>
            <w:shd w:val="clear" w:color="000000" w:fill="FFFFFF"/>
            <w:vAlign w:val="center"/>
            <w:hideMark/>
          </w:tcPr>
          <w:p w14:paraId="3F38B261"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501.747,17</w:t>
            </w:r>
          </w:p>
        </w:tc>
        <w:tc>
          <w:tcPr>
            <w:tcW w:w="1363" w:type="dxa"/>
            <w:tcBorders>
              <w:top w:val="nil"/>
              <w:left w:val="nil"/>
              <w:bottom w:val="nil"/>
              <w:right w:val="nil"/>
            </w:tcBorders>
            <w:shd w:val="clear" w:color="000000" w:fill="FFFFFF"/>
            <w:vAlign w:val="center"/>
            <w:hideMark/>
          </w:tcPr>
          <w:p w14:paraId="7D201A90"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2.653.899,03</w:t>
            </w:r>
          </w:p>
        </w:tc>
        <w:tc>
          <w:tcPr>
            <w:tcW w:w="1363" w:type="dxa"/>
            <w:tcBorders>
              <w:top w:val="nil"/>
              <w:left w:val="nil"/>
              <w:bottom w:val="nil"/>
              <w:right w:val="nil"/>
            </w:tcBorders>
            <w:shd w:val="clear" w:color="000000" w:fill="FFFFFF"/>
            <w:vAlign w:val="center"/>
            <w:hideMark/>
          </w:tcPr>
          <w:p w14:paraId="53A7F2A8"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171.130,02</w:t>
            </w:r>
          </w:p>
        </w:tc>
        <w:tc>
          <w:tcPr>
            <w:tcW w:w="959" w:type="dxa"/>
            <w:tcBorders>
              <w:top w:val="nil"/>
              <w:left w:val="nil"/>
              <w:bottom w:val="nil"/>
              <w:right w:val="nil"/>
            </w:tcBorders>
            <w:shd w:val="clear" w:color="000000" w:fill="FFFFFF"/>
            <w:vAlign w:val="center"/>
            <w:hideMark/>
          </w:tcPr>
          <w:p w14:paraId="6D150A0B"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34,11</w:t>
            </w:r>
          </w:p>
        </w:tc>
        <w:tc>
          <w:tcPr>
            <w:tcW w:w="807" w:type="dxa"/>
            <w:tcBorders>
              <w:top w:val="nil"/>
              <w:left w:val="nil"/>
              <w:bottom w:val="nil"/>
              <w:right w:val="nil"/>
            </w:tcBorders>
            <w:shd w:val="clear" w:color="000000" w:fill="FFFFFF"/>
            <w:vAlign w:val="center"/>
            <w:hideMark/>
          </w:tcPr>
          <w:p w14:paraId="5B2F413B"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6,45</w:t>
            </w:r>
          </w:p>
        </w:tc>
        <w:tc>
          <w:tcPr>
            <w:tcW w:w="1276" w:type="dxa"/>
            <w:tcBorders>
              <w:top w:val="nil"/>
              <w:left w:val="nil"/>
              <w:bottom w:val="nil"/>
              <w:right w:val="nil"/>
            </w:tcBorders>
            <w:shd w:val="clear" w:color="000000" w:fill="FFFFFF"/>
            <w:vAlign w:val="center"/>
            <w:hideMark/>
          </w:tcPr>
          <w:p w14:paraId="3EE64A60"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0,00</w:t>
            </w:r>
          </w:p>
        </w:tc>
        <w:tc>
          <w:tcPr>
            <w:tcW w:w="1276" w:type="dxa"/>
            <w:tcBorders>
              <w:top w:val="nil"/>
              <w:left w:val="nil"/>
              <w:bottom w:val="nil"/>
              <w:right w:val="nil"/>
            </w:tcBorders>
            <w:shd w:val="clear" w:color="000000" w:fill="FFFFFF"/>
            <w:vAlign w:val="center"/>
            <w:hideMark/>
          </w:tcPr>
          <w:p w14:paraId="23C02BD4"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171.130,02</w:t>
            </w:r>
          </w:p>
        </w:tc>
      </w:tr>
      <w:tr w:rsidR="009E3414" w:rsidRPr="00A17B6F" w14:paraId="43FA487D" w14:textId="77777777" w:rsidTr="00BC1CA7">
        <w:trPr>
          <w:trHeight w:val="255"/>
        </w:trPr>
        <w:tc>
          <w:tcPr>
            <w:tcW w:w="2411" w:type="dxa"/>
            <w:tcBorders>
              <w:top w:val="nil"/>
              <w:left w:val="nil"/>
              <w:bottom w:val="nil"/>
              <w:right w:val="nil"/>
            </w:tcBorders>
            <w:shd w:val="clear" w:color="000000" w:fill="FFFFFF"/>
            <w:vAlign w:val="center"/>
            <w:hideMark/>
          </w:tcPr>
          <w:p w14:paraId="1E05286D" w14:textId="77777777" w:rsidR="009E3414" w:rsidRPr="00A17B6F" w:rsidRDefault="009E3414" w:rsidP="009E3414">
            <w:pPr>
              <w:spacing w:after="0" w:line="240" w:lineRule="auto"/>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Izvor: 8 Namjenski primici</w:t>
            </w:r>
          </w:p>
        </w:tc>
        <w:tc>
          <w:tcPr>
            <w:tcW w:w="1276" w:type="dxa"/>
            <w:tcBorders>
              <w:top w:val="nil"/>
              <w:left w:val="nil"/>
              <w:bottom w:val="nil"/>
              <w:right w:val="nil"/>
            </w:tcBorders>
            <w:shd w:val="clear" w:color="000000" w:fill="FFFFFF"/>
            <w:vAlign w:val="center"/>
            <w:hideMark/>
          </w:tcPr>
          <w:p w14:paraId="46ECA0A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174.807,53</w:t>
            </w:r>
          </w:p>
        </w:tc>
        <w:tc>
          <w:tcPr>
            <w:tcW w:w="1363" w:type="dxa"/>
            <w:tcBorders>
              <w:top w:val="nil"/>
              <w:left w:val="nil"/>
              <w:bottom w:val="nil"/>
              <w:right w:val="nil"/>
            </w:tcBorders>
            <w:shd w:val="clear" w:color="000000" w:fill="FFFFFF"/>
            <w:vAlign w:val="center"/>
            <w:hideMark/>
          </w:tcPr>
          <w:p w14:paraId="7EDC3CAC"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5.310.129,10</w:t>
            </w:r>
          </w:p>
        </w:tc>
        <w:tc>
          <w:tcPr>
            <w:tcW w:w="1363" w:type="dxa"/>
            <w:tcBorders>
              <w:top w:val="nil"/>
              <w:left w:val="nil"/>
              <w:bottom w:val="nil"/>
              <w:right w:val="nil"/>
            </w:tcBorders>
            <w:shd w:val="clear" w:color="000000" w:fill="FFFFFF"/>
            <w:vAlign w:val="center"/>
            <w:hideMark/>
          </w:tcPr>
          <w:p w14:paraId="6210850C"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2.742.560,05</w:t>
            </w:r>
          </w:p>
        </w:tc>
        <w:tc>
          <w:tcPr>
            <w:tcW w:w="959" w:type="dxa"/>
            <w:tcBorders>
              <w:top w:val="nil"/>
              <w:left w:val="nil"/>
              <w:bottom w:val="nil"/>
              <w:right w:val="nil"/>
            </w:tcBorders>
            <w:shd w:val="clear" w:color="000000" w:fill="FFFFFF"/>
            <w:vAlign w:val="center"/>
            <w:hideMark/>
          </w:tcPr>
          <w:p w14:paraId="2ECD1339"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1.568,90</w:t>
            </w:r>
          </w:p>
        </w:tc>
        <w:tc>
          <w:tcPr>
            <w:tcW w:w="807" w:type="dxa"/>
            <w:tcBorders>
              <w:top w:val="nil"/>
              <w:left w:val="nil"/>
              <w:bottom w:val="nil"/>
              <w:right w:val="nil"/>
            </w:tcBorders>
            <w:shd w:val="clear" w:color="000000" w:fill="FFFFFF"/>
            <w:vAlign w:val="center"/>
            <w:hideMark/>
          </w:tcPr>
          <w:p w14:paraId="0C6740D6"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51,65</w:t>
            </w:r>
          </w:p>
        </w:tc>
        <w:tc>
          <w:tcPr>
            <w:tcW w:w="1276" w:type="dxa"/>
            <w:tcBorders>
              <w:top w:val="nil"/>
              <w:left w:val="nil"/>
              <w:bottom w:val="nil"/>
              <w:right w:val="nil"/>
            </w:tcBorders>
            <w:shd w:val="clear" w:color="000000" w:fill="FFFFFF"/>
            <w:vAlign w:val="center"/>
            <w:hideMark/>
          </w:tcPr>
          <w:p w14:paraId="702EFE06"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0,00</w:t>
            </w:r>
          </w:p>
        </w:tc>
        <w:tc>
          <w:tcPr>
            <w:tcW w:w="1276" w:type="dxa"/>
            <w:tcBorders>
              <w:top w:val="nil"/>
              <w:left w:val="nil"/>
              <w:bottom w:val="nil"/>
              <w:right w:val="nil"/>
            </w:tcBorders>
            <w:shd w:val="clear" w:color="000000" w:fill="FFFFFF"/>
            <w:vAlign w:val="center"/>
            <w:hideMark/>
          </w:tcPr>
          <w:p w14:paraId="55D4136E" w14:textId="77777777" w:rsidR="009E3414" w:rsidRPr="00A17B6F" w:rsidRDefault="009E3414" w:rsidP="009E3414">
            <w:pPr>
              <w:spacing w:after="0" w:line="240" w:lineRule="auto"/>
              <w:jc w:val="right"/>
              <w:rPr>
                <w:rFonts w:ascii="Calibri" w:eastAsia="Times New Roman" w:hAnsi="Calibri" w:cs="Calibri"/>
                <w:color w:val="000000"/>
                <w:sz w:val="18"/>
                <w:szCs w:val="18"/>
                <w:lang w:eastAsia="hr-HR"/>
              </w:rPr>
            </w:pPr>
            <w:r w:rsidRPr="00A17B6F">
              <w:rPr>
                <w:rFonts w:ascii="Calibri" w:eastAsia="Times New Roman" w:hAnsi="Calibri" w:cs="Calibri"/>
                <w:color w:val="000000"/>
                <w:sz w:val="18"/>
                <w:szCs w:val="18"/>
                <w:lang w:eastAsia="hr-HR"/>
              </w:rPr>
              <w:t>2.742.560,05</w:t>
            </w:r>
          </w:p>
        </w:tc>
      </w:tr>
      <w:tr w:rsidR="009E3414" w:rsidRPr="00A17B6F" w14:paraId="0088EAE1" w14:textId="77777777" w:rsidTr="00BC1CA7">
        <w:trPr>
          <w:trHeight w:val="255"/>
        </w:trPr>
        <w:tc>
          <w:tcPr>
            <w:tcW w:w="2411" w:type="dxa"/>
            <w:tcBorders>
              <w:top w:val="single" w:sz="4" w:space="0" w:color="auto"/>
              <w:left w:val="nil"/>
              <w:bottom w:val="single" w:sz="4" w:space="0" w:color="auto"/>
              <w:right w:val="nil"/>
            </w:tcBorders>
            <w:shd w:val="clear" w:color="auto" w:fill="auto"/>
            <w:vAlign w:val="center"/>
            <w:hideMark/>
          </w:tcPr>
          <w:p w14:paraId="73BBC1F8" w14:textId="77777777" w:rsidR="009E3414" w:rsidRPr="00A17B6F" w:rsidRDefault="009E3414" w:rsidP="009E3414">
            <w:pPr>
              <w:spacing w:after="0" w:line="240" w:lineRule="auto"/>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SVEUKUPNO RASHODI I IZDACI</w:t>
            </w:r>
          </w:p>
        </w:tc>
        <w:tc>
          <w:tcPr>
            <w:tcW w:w="1276" w:type="dxa"/>
            <w:tcBorders>
              <w:top w:val="single" w:sz="4" w:space="0" w:color="auto"/>
              <w:left w:val="nil"/>
              <w:bottom w:val="single" w:sz="4" w:space="0" w:color="auto"/>
              <w:right w:val="nil"/>
            </w:tcBorders>
            <w:shd w:val="clear" w:color="auto" w:fill="auto"/>
            <w:vAlign w:val="center"/>
            <w:hideMark/>
          </w:tcPr>
          <w:p w14:paraId="050D29C7"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99.953.195,34</w:t>
            </w:r>
          </w:p>
        </w:tc>
        <w:tc>
          <w:tcPr>
            <w:tcW w:w="1363" w:type="dxa"/>
            <w:tcBorders>
              <w:top w:val="single" w:sz="4" w:space="0" w:color="auto"/>
              <w:left w:val="nil"/>
              <w:bottom w:val="single" w:sz="4" w:space="0" w:color="auto"/>
              <w:right w:val="nil"/>
            </w:tcBorders>
            <w:shd w:val="clear" w:color="auto" w:fill="auto"/>
            <w:vAlign w:val="center"/>
            <w:hideMark/>
          </w:tcPr>
          <w:p w14:paraId="6508734F"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294.990.000,00</w:t>
            </w:r>
          </w:p>
        </w:tc>
        <w:tc>
          <w:tcPr>
            <w:tcW w:w="1363" w:type="dxa"/>
            <w:tcBorders>
              <w:top w:val="single" w:sz="4" w:space="0" w:color="auto"/>
              <w:left w:val="nil"/>
              <w:bottom w:val="single" w:sz="4" w:space="0" w:color="auto"/>
              <w:right w:val="nil"/>
            </w:tcBorders>
            <w:shd w:val="clear" w:color="auto" w:fill="auto"/>
            <w:vAlign w:val="center"/>
            <w:hideMark/>
          </w:tcPr>
          <w:p w14:paraId="103C8A80"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123.393.295,52</w:t>
            </w:r>
          </w:p>
        </w:tc>
        <w:tc>
          <w:tcPr>
            <w:tcW w:w="959" w:type="dxa"/>
            <w:tcBorders>
              <w:top w:val="single" w:sz="4" w:space="0" w:color="auto"/>
              <w:left w:val="nil"/>
              <w:bottom w:val="single" w:sz="4" w:space="0" w:color="auto"/>
              <w:right w:val="nil"/>
            </w:tcBorders>
            <w:shd w:val="clear" w:color="auto" w:fill="auto"/>
            <w:vAlign w:val="center"/>
            <w:hideMark/>
          </w:tcPr>
          <w:p w14:paraId="7D99FA15"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123,45</w:t>
            </w:r>
          </w:p>
        </w:tc>
        <w:tc>
          <w:tcPr>
            <w:tcW w:w="807" w:type="dxa"/>
            <w:tcBorders>
              <w:top w:val="single" w:sz="4" w:space="0" w:color="auto"/>
              <w:left w:val="nil"/>
              <w:bottom w:val="single" w:sz="4" w:space="0" w:color="auto"/>
              <w:right w:val="nil"/>
            </w:tcBorders>
            <w:shd w:val="clear" w:color="auto" w:fill="auto"/>
            <w:vAlign w:val="center"/>
            <w:hideMark/>
          </w:tcPr>
          <w:p w14:paraId="171BF091"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41,83</w:t>
            </w:r>
          </w:p>
        </w:tc>
        <w:tc>
          <w:tcPr>
            <w:tcW w:w="1276" w:type="dxa"/>
            <w:tcBorders>
              <w:top w:val="single" w:sz="4" w:space="0" w:color="auto"/>
              <w:left w:val="nil"/>
              <w:bottom w:val="single" w:sz="4" w:space="0" w:color="auto"/>
              <w:right w:val="nil"/>
            </w:tcBorders>
            <w:shd w:val="clear" w:color="auto" w:fill="auto"/>
            <w:vAlign w:val="center"/>
            <w:hideMark/>
          </w:tcPr>
          <w:p w14:paraId="25E8A4BF"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25.106.567,56</w:t>
            </w:r>
          </w:p>
        </w:tc>
        <w:tc>
          <w:tcPr>
            <w:tcW w:w="1276" w:type="dxa"/>
            <w:tcBorders>
              <w:top w:val="single" w:sz="4" w:space="0" w:color="auto"/>
              <w:left w:val="nil"/>
              <w:bottom w:val="single" w:sz="4" w:space="0" w:color="auto"/>
              <w:right w:val="nil"/>
            </w:tcBorders>
            <w:shd w:val="clear" w:color="auto" w:fill="auto"/>
            <w:vAlign w:val="center"/>
            <w:hideMark/>
          </w:tcPr>
          <w:p w14:paraId="69050475" w14:textId="77777777" w:rsidR="009E3414" w:rsidRPr="00A17B6F" w:rsidRDefault="009E3414" w:rsidP="009E3414">
            <w:pPr>
              <w:spacing w:after="0" w:line="240" w:lineRule="auto"/>
              <w:jc w:val="right"/>
              <w:rPr>
                <w:rFonts w:ascii="Calibri" w:eastAsia="Times New Roman" w:hAnsi="Calibri" w:cs="Calibri"/>
                <w:b/>
                <w:bCs/>
                <w:color w:val="000000"/>
                <w:sz w:val="18"/>
                <w:szCs w:val="18"/>
                <w:lang w:eastAsia="hr-HR"/>
              </w:rPr>
            </w:pPr>
            <w:r w:rsidRPr="00A17B6F">
              <w:rPr>
                <w:rFonts w:ascii="Calibri" w:eastAsia="Times New Roman" w:hAnsi="Calibri" w:cs="Calibri"/>
                <w:b/>
                <w:bCs/>
                <w:color w:val="000000"/>
                <w:sz w:val="18"/>
                <w:szCs w:val="18"/>
                <w:lang w:eastAsia="hr-HR"/>
              </w:rPr>
              <w:t>98.286.727,96</w:t>
            </w:r>
          </w:p>
        </w:tc>
      </w:tr>
    </w:tbl>
    <w:p w14:paraId="585D21A4" w14:textId="07E06387" w:rsidR="009E3414" w:rsidRPr="00A17B6F" w:rsidRDefault="009E3414" w:rsidP="00BF0B60">
      <w:pPr>
        <w:overflowPunct w:val="0"/>
        <w:autoSpaceDE w:val="0"/>
        <w:autoSpaceDN w:val="0"/>
        <w:adjustRightInd w:val="0"/>
        <w:spacing w:after="0" w:line="240" w:lineRule="auto"/>
        <w:ind w:left="1276" w:hanging="1276"/>
        <w:jc w:val="both"/>
        <w:textAlignment w:val="baseline"/>
        <w:rPr>
          <w:rFonts w:ascii="Arial" w:eastAsia="Times New Roman" w:hAnsi="Arial" w:cs="Arial"/>
          <w:sz w:val="16"/>
          <w:szCs w:val="16"/>
          <w:lang w:eastAsia="hr-HR"/>
        </w:rPr>
      </w:pPr>
    </w:p>
    <w:p w14:paraId="4656E871" w14:textId="77777777" w:rsidR="009E3414" w:rsidRPr="00A17B6F" w:rsidRDefault="009E3414" w:rsidP="00BF0B60">
      <w:pPr>
        <w:overflowPunct w:val="0"/>
        <w:autoSpaceDE w:val="0"/>
        <w:autoSpaceDN w:val="0"/>
        <w:adjustRightInd w:val="0"/>
        <w:spacing w:after="0" w:line="240" w:lineRule="auto"/>
        <w:ind w:left="1276" w:hanging="1276"/>
        <w:jc w:val="both"/>
        <w:textAlignment w:val="baseline"/>
        <w:rPr>
          <w:rFonts w:ascii="Arial" w:eastAsia="Times New Roman" w:hAnsi="Arial" w:cs="Arial"/>
          <w:sz w:val="16"/>
          <w:szCs w:val="16"/>
          <w:lang w:eastAsia="hr-HR"/>
        </w:rPr>
      </w:pPr>
    </w:p>
    <w:p w14:paraId="13D87B92" w14:textId="54CBDC01" w:rsidR="007A3853" w:rsidRPr="00A17B6F" w:rsidRDefault="007A3853" w:rsidP="007A3853">
      <w:pPr>
        <w:spacing w:after="0" w:line="240" w:lineRule="auto"/>
        <w:ind w:right="72" w:firstLine="708"/>
        <w:jc w:val="both"/>
        <w:rPr>
          <w:rFonts w:ascii="Arial" w:eastAsia="Times New Roman" w:hAnsi="Arial" w:cs="Times New Roman"/>
          <w:bCs/>
          <w:sz w:val="24"/>
          <w:szCs w:val="20"/>
          <w:lang w:eastAsia="hr-HR"/>
        </w:rPr>
      </w:pPr>
      <w:r w:rsidRPr="00A17B6F">
        <w:rPr>
          <w:rFonts w:ascii="Arial" w:eastAsia="Times New Roman" w:hAnsi="Arial" w:cs="Times New Roman"/>
          <w:bCs/>
          <w:sz w:val="24"/>
          <w:szCs w:val="20"/>
          <w:lang w:eastAsia="hr-HR"/>
        </w:rPr>
        <w:t>Iz Grafikona 7. je razvidno da je u prvom polugodištu 202</w:t>
      </w:r>
      <w:r w:rsidR="00113D03" w:rsidRPr="00A17B6F">
        <w:rPr>
          <w:rFonts w:ascii="Arial" w:eastAsia="Times New Roman" w:hAnsi="Arial" w:cs="Times New Roman"/>
          <w:bCs/>
          <w:sz w:val="24"/>
          <w:szCs w:val="20"/>
          <w:lang w:eastAsia="hr-HR"/>
        </w:rPr>
        <w:t>4</w:t>
      </w:r>
      <w:r w:rsidRPr="00A17B6F">
        <w:rPr>
          <w:rFonts w:ascii="Arial" w:eastAsia="Times New Roman" w:hAnsi="Arial" w:cs="Times New Roman"/>
          <w:bCs/>
          <w:sz w:val="24"/>
          <w:szCs w:val="20"/>
          <w:lang w:eastAsia="hr-HR"/>
        </w:rPr>
        <w:t xml:space="preserve">. godine </w:t>
      </w:r>
      <w:r w:rsidR="00113D03" w:rsidRPr="00A17B6F">
        <w:rPr>
          <w:rFonts w:ascii="Arial" w:eastAsia="Times New Roman" w:hAnsi="Arial" w:cs="Times New Roman"/>
          <w:bCs/>
          <w:sz w:val="24"/>
          <w:szCs w:val="20"/>
          <w:lang w:eastAsia="hr-HR"/>
        </w:rPr>
        <w:t>77,0</w:t>
      </w:r>
      <w:r w:rsidRPr="00A17B6F">
        <w:rPr>
          <w:rFonts w:ascii="Arial" w:eastAsia="Times New Roman" w:hAnsi="Arial" w:cs="Times New Roman"/>
          <w:bCs/>
          <w:sz w:val="24"/>
          <w:szCs w:val="20"/>
          <w:lang w:eastAsia="hr-HR"/>
        </w:rPr>
        <w:t xml:space="preserve">% rashoda i izdataka </w:t>
      </w:r>
      <w:r w:rsidR="00D30AFC">
        <w:rPr>
          <w:rFonts w:ascii="Arial" w:eastAsia="Times New Roman" w:hAnsi="Arial" w:cs="Times New Roman"/>
          <w:bCs/>
          <w:sz w:val="24"/>
          <w:szCs w:val="20"/>
          <w:lang w:eastAsia="hr-HR"/>
        </w:rPr>
        <w:t xml:space="preserve">konsolidiranog proračuna </w:t>
      </w:r>
      <w:r w:rsidRPr="00A17B6F">
        <w:rPr>
          <w:rFonts w:ascii="Arial" w:eastAsia="Times New Roman" w:hAnsi="Arial" w:cs="Times New Roman"/>
          <w:bCs/>
          <w:sz w:val="24"/>
          <w:szCs w:val="20"/>
          <w:lang w:eastAsia="hr-HR"/>
        </w:rPr>
        <w:t xml:space="preserve">realizirano na teret prihoda za posebne namjene i pomoći. Iz općih prihoda i primitaka Županije realizirano je </w:t>
      </w:r>
      <w:r w:rsidR="00113D03" w:rsidRPr="00A17B6F">
        <w:rPr>
          <w:rFonts w:ascii="Arial" w:eastAsia="Times New Roman" w:hAnsi="Arial" w:cs="Times New Roman"/>
          <w:bCs/>
          <w:sz w:val="24"/>
          <w:szCs w:val="20"/>
          <w:lang w:eastAsia="hr-HR"/>
        </w:rPr>
        <w:t>14,4</w:t>
      </w:r>
      <w:r w:rsidRPr="00A17B6F">
        <w:rPr>
          <w:rFonts w:ascii="Arial" w:eastAsia="Times New Roman" w:hAnsi="Arial" w:cs="Times New Roman"/>
          <w:bCs/>
          <w:sz w:val="24"/>
          <w:szCs w:val="20"/>
          <w:lang w:eastAsia="hr-HR"/>
        </w:rPr>
        <w:t xml:space="preserve">% </w:t>
      </w:r>
      <w:r w:rsidR="00B50575" w:rsidRPr="00A17B6F">
        <w:rPr>
          <w:rFonts w:ascii="Arial" w:eastAsia="Times New Roman" w:hAnsi="Arial" w:cs="Times New Roman"/>
          <w:bCs/>
          <w:sz w:val="24"/>
          <w:szCs w:val="20"/>
          <w:lang w:eastAsia="hr-HR"/>
        </w:rPr>
        <w:t>rashoda i izdatak</w:t>
      </w:r>
      <w:r w:rsidR="00113D03" w:rsidRPr="00A17B6F">
        <w:rPr>
          <w:rFonts w:ascii="Arial" w:eastAsia="Times New Roman" w:hAnsi="Arial" w:cs="Times New Roman"/>
          <w:bCs/>
          <w:sz w:val="24"/>
          <w:szCs w:val="20"/>
          <w:lang w:eastAsia="hr-HR"/>
        </w:rPr>
        <w:t>a</w:t>
      </w:r>
      <w:r w:rsidR="00B50575" w:rsidRPr="00A17B6F">
        <w:rPr>
          <w:rFonts w:ascii="Arial" w:eastAsia="Times New Roman" w:hAnsi="Arial" w:cs="Times New Roman"/>
          <w:bCs/>
          <w:sz w:val="24"/>
          <w:szCs w:val="20"/>
          <w:lang w:eastAsia="hr-HR"/>
        </w:rPr>
        <w:t xml:space="preserve"> konsolidiranog proračuna u </w:t>
      </w:r>
      <w:r w:rsidR="00113D03" w:rsidRPr="00A17B6F">
        <w:rPr>
          <w:rFonts w:ascii="Arial" w:eastAsia="Times New Roman" w:hAnsi="Arial" w:cs="Times New Roman"/>
          <w:bCs/>
          <w:sz w:val="24"/>
          <w:szCs w:val="20"/>
          <w:lang w:eastAsia="hr-HR"/>
        </w:rPr>
        <w:t>izvještajnom</w:t>
      </w:r>
      <w:r w:rsidR="00B50575" w:rsidRPr="00A17B6F">
        <w:rPr>
          <w:rFonts w:ascii="Arial" w:eastAsia="Times New Roman" w:hAnsi="Arial" w:cs="Times New Roman"/>
          <w:bCs/>
          <w:sz w:val="24"/>
          <w:szCs w:val="20"/>
          <w:lang w:eastAsia="hr-HR"/>
        </w:rPr>
        <w:t xml:space="preserve"> razdoblju.</w:t>
      </w:r>
      <w:r w:rsidRPr="00A17B6F">
        <w:rPr>
          <w:rFonts w:ascii="Arial" w:eastAsia="Times New Roman" w:hAnsi="Arial" w:cs="Times New Roman"/>
          <w:bCs/>
          <w:sz w:val="24"/>
          <w:szCs w:val="20"/>
          <w:lang w:eastAsia="hr-HR"/>
        </w:rPr>
        <w:t xml:space="preserve"> </w:t>
      </w:r>
    </w:p>
    <w:p w14:paraId="442F116E" w14:textId="56C7649E" w:rsidR="00B50575" w:rsidRDefault="00B50575" w:rsidP="00087289">
      <w:pPr>
        <w:spacing w:after="0" w:line="240" w:lineRule="auto"/>
        <w:ind w:left="360" w:right="72" w:hanging="360"/>
        <w:jc w:val="both"/>
        <w:rPr>
          <w:rFonts w:ascii="Arial" w:eastAsia="Times New Roman" w:hAnsi="Arial" w:cs="Times New Roman"/>
          <w:b/>
          <w:bCs/>
          <w:sz w:val="28"/>
          <w:szCs w:val="28"/>
          <w:lang w:eastAsia="hr-HR"/>
        </w:rPr>
      </w:pPr>
    </w:p>
    <w:p w14:paraId="3A6BE74D" w14:textId="58955002" w:rsidR="00BD5A00" w:rsidRDefault="00BD5A00" w:rsidP="00087289">
      <w:pPr>
        <w:spacing w:after="0" w:line="240" w:lineRule="auto"/>
        <w:ind w:left="360" w:right="72" w:hanging="360"/>
        <w:jc w:val="both"/>
        <w:rPr>
          <w:rFonts w:ascii="Arial" w:eastAsia="Times New Roman" w:hAnsi="Arial" w:cs="Times New Roman"/>
          <w:b/>
          <w:bCs/>
          <w:sz w:val="28"/>
          <w:szCs w:val="28"/>
          <w:lang w:eastAsia="hr-HR"/>
        </w:rPr>
      </w:pPr>
    </w:p>
    <w:p w14:paraId="732B512A" w14:textId="5FD59C6F" w:rsidR="00BD5A00" w:rsidRDefault="00BD5A00" w:rsidP="00087289">
      <w:pPr>
        <w:spacing w:after="0" w:line="240" w:lineRule="auto"/>
        <w:ind w:left="360" w:right="72" w:hanging="360"/>
        <w:jc w:val="both"/>
        <w:rPr>
          <w:rFonts w:ascii="Arial" w:eastAsia="Times New Roman" w:hAnsi="Arial" w:cs="Times New Roman"/>
          <w:b/>
          <w:bCs/>
          <w:sz w:val="28"/>
          <w:szCs w:val="28"/>
          <w:lang w:eastAsia="hr-HR"/>
        </w:rPr>
      </w:pPr>
    </w:p>
    <w:p w14:paraId="20DF48FC" w14:textId="30FFAC49" w:rsidR="00BD5A00" w:rsidRDefault="00BD5A00" w:rsidP="00087289">
      <w:pPr>
        <w:spacing w:after="0" w:line="240" w:lineRule="auto"/>
        <w:ind w:left="360" w:right="72" w:hanging="360"/>
        <w:jc w:val="both"/>
        <w:rPr>
          <w:rFonts w:ascii="Arial" w:eastAsia="Times New Roman" w:hAnsi="Arial" w:cs="Times New Roman"/>
          <w:b/>
          <w:bCs/>
          <w:sz w:val="28"/>
          <w:szCs w:val="28"/>
          <w:lang w:eastAsia="hr-HR"/>
        </w:rPr>
      </w:pPr>
    </w:p>
    <w:p w14:paraId="5B8143F6" w14:textId="77777777" w:rsidR="00BD5A00" w:rsidRPr="00A17B6F" w:rsidRDefault="00BD5A00" w:rsidP="00087289">
      <w:pPr>
        <w:spacing w:after="0" w:line="240" w:lineRule="auto"/>
        <w:ind w:left="360" w:right="72" w:hanging="360"/>
        <w:jc w:val="both"/>
        <w:rPr>
          <w:rFonts w:ascii="Arial" w:eastAsia="Times New Roman" w:hAnsi="Arial" w:cs="Times New Roman"/>
          <w:b/>
          <w:bCs/>
          <w:sz w:val="28"/>
          <w:szCs w:val="28"/>
          <w:lang w:eastAsia="hr-HR"/>
        </w:rPr>
      </w:pPr>
    </w:p>
    <w:p w14:paraId="39104183" w14:textId="3FC0CC4D" w:rsidR="00BF0B60" w:rsidRPr="00A17B6F" w:rsidRDefault="00BF0B60" w:rsidP="00BF0B60">
      <w:pPr>
        <w:spacing w:after="0" w:line="240" w:lineRule="auto"/>
        <w:ind w:left="1418" w:hanging="1418"/>
        <w:rPr>
          <w:rFonts w:ascii="Arial" w:eastAsia="Times New Roman" w:hAnsi="Arial" w:cs="Times New Roman"/>
          <w:sz w:val="24"/>
          <w:szCs w:val="24"/>
          <w:lang w:eastAsia="hr-HR"/>
        </w:rPr>
      </w:pPr>
      <w:r w:rsidRPr="00A17B6F">
        <w:rPr>
          <w:rFonts w:ascii="Arial" w:eastAsia="Times New Roman" w:hAnsi="Arial" w:cs="Times New Roman"/>
          <w:b/>
          <w:sz w:val="24"/>
          <w:szCs w:val="24"/>
          <w:lang w:eastAsia="hr-HR"/>
        </w:rPr>
        <w:lastRenderedPageBreak/>
        <w:t>Grafikon 7.:</w:t>
      </w:r>
      <w:r w:rsidRPr="00A17B6F">
        <w:rPr>
          <w:rFonts w:ascii="Times New Roman" w:eastAsia="Times New Roman" w:hAnsi="Times New Roman" w:cs="Arial"/>
          <w:b/>
          <w:sz w:val="23"/>
          <w:szCs w:val="23"/>
          <w:lang w:eastAsia="hr-HR"/>
        </w:rPr>
        <w:t xml:space="preserve"> </w:t>
      </w:r>
      <w:r w:rsidRPr="00A17B6F">
        <w:rPr>
          <w:rFonts w:ascii="Arial" w:eastAsia="Times New Roman" w:hAnsi="Arial" w:cs="Times New Roman"/>
          <w:sz w:val="24"/>
          <w:szCs w:val="24"/>
          <w:lang w:eastAsia="hr-HR"/>
        </w:rPr>
        <w:t xml:space="preserve">Struktura izvršenih rashoda konsolidiranog proračuna PGŽ </w:t>
      </w:r>
      <w:r w:rsidRPr="00A17B6F">
        <w:rPr>
          <w:rFonts w:ascii="Arial" w:hAnsi="Arial"/>
        </w:rPr>
        <w:t>u prvoj polovici 202</w:t>
      </w:r>
      <w:r w:rsidR="009E3414" w:rsidRPr="00A17B6F">
        <w:rPr>
          <w:rFonts w:ascii="Arial" w:hAnsi="Arial"/>
        </w:rPr>
        <w:t>4</w:t>
      </w:r>
      <w:r w:rsidRPr="00A17B6F">
        <w:rPr>
          <w:rFonts w:ascii="Arial" w:hAnsi="Arial"/>
        </w:rPr>
        <w:t xml:space="preserve">. godine </w:t>
      </w:r>
      <w:r w:rsidRPr="00A17B6F">
        <w:rPr>
          <w:rFonts w:ascii="Arial" w:eastAsia="Times New Roman" w:hAnsi="Arial" w:cs="Times New Roman"/>
          <w:sz w:val="24"/>
          <w:szCs w:val="24"/>
          <w:lang w:eastAsia="hr-HR"/>
        </w:rPr>
        <w:t xml:space="preserve">prema </w:t>
      </w:r>
      <w:r w:rsidR="009E3414" w:rsidRPr="00A17B6F">
        <w:rPr>
          <w:rFonts w:ascii="Arial" w:eastAsia="Times New Roman" w:hAnsi="Arial" w:cs="Times New Roman"/>
          <w:sz w:val="24"/>
          <w:szCs w:val="24"/>
          <w:lang w:eastAsia="hr-HR"/>
        </w:rPr>
        <w:t>izvorima</w:t>
      </w:r>
    </w:p>
    <w:p w14:paraId="28CDC2A5" w14:textId="268DFE1C" w:rsidR="009E3414" w:rsidRPr="00A17B6F" w:rsidRDefault="009E3414" w:rsidP="009E3414">
      <w:pPr>
        <w:spacing w:after="0" w:line="240" w:lineRule="auto"/>
        <w:ind w:left="1418" w:hanging="1418"/>
        <w:jc w:val="center"/>
        <w:rPr>
          <w:rFonts w:ascii="Arial" w:eastAsia="Times New Roman" w:hAnsi="Arial" w:cs="Times New Roman"/>
          <w:sz w:val="24"/>
          <w:szCs w:val="24"/>
          <w:lang w:eastAsia="hr-HR"/>
        </w:rPr>
      </w:pPr>
      <w:r w:rsidRPr="00A17B6F">
        <w:rPr>
          <w:rFonts w:ascii="Arial" w:eastAsia="Times New Roman" w:hAnsi="Arial" w:cs="Times New Roman"/>
          <w:noProof/>
          <w:sz w:val="24"/>
          <w:szCs w:val="24"/>
          <w:lang w:eastAsia="hr-HR"/>
        </w:rPr>
        <w:drawing>
          <wp:inline distT="0" distB="0" distL="0" distR="0" wp14:anchorId="75D24D38" wp14:editId="578F9621">
            <wp:extent cx="4879074" cy="35328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1426" cy="3556296"/>
                    </a:xfrm>
                    <a:prstGeom prst="rect">
                      <a:avLst/>
                    </a:prstGeom>
                    <a:noFill/>
                  </pic:spPr>
                </pic:pic>
              </a:graphicData>
            </a:graphic>
          </wp:inline>
        </w:drawing>
      </w:r>
    </w:p>
    <w:p w14:paraId="6B21B303" w14:textId="77777777" w:rsidR="009E3414" w:rsidRPr="00A17B6F" w:rsidRDefault="009E3414" w:rsidP="00BF0B60">
      <w:pPr>
        <w:spacing w:after="0" w:line="240" w:lineRule="auto"/>
        <w:ind w:left="1418" w:hanging="1418"/>
        <w:rPr>
          <w:rFonts w:ascii="Arial" w:eastAsia="Times New Roman" w:hAnsi="Arial" w:cs="Times New Roman"/>
          <w:sz w:val="24"/>
          <w:szCs w:val="24"/>
          <w:lang w:eastAsia="hr-HR"/>
        </w:rPr>
      </w:pPr>
    </w:p>
    <w:p w14:paraId="316EE0B3" w14:textId="77777777" w:rsidR="00087289" w:rsidRPr="00A17B6F" w:rsidRDefault="00087289" w:rsidP="00087289">
      <w:pPr>
        <w:spacing w:after="0" w:line="240" w:lineRule="auto"/>
        <w:ind w:left="360" w:right="72" w:hanging="360"/>
        <w:jc w:val="both"/>
        <w:rPr>
          <w:rFonts w:ascii="Arial" w:eastAsia="Times New Roman" w:hAnsi="Arial" w:cs="Times New Roman"/>
          <w:b/>
          <w:bCs/>
          <w:sz w:val="28"/>
          <w:szCs w:val="28"/>
          <w:lang w:eastAsia="hr-HR"/>
        </w:rPr>
      </w:pPr>
    </w:p>
    <w:p w14:paraId="05AEF438" w14:textId="1DCCD204" w:rsidR="00A83347" w:rsidRPr="00A17B6F" w:rsidRDefault="00A83347">
      <w:pPr>
        <w:rPr>
          <w:rFonts w:ascii="Arial" w:eastAsia="Times New Roman" w:hAnsi="Arial" w:cs="Times New Roman"/>
          <w:b/>
          <w:bCs/>
          <w:sz w:val="28"/>
          <w:szCs w:val="28"/>
          <w:lang w:eastAsia="hr-HR"/>
        </w:rPr>
      </w:pPr>
      <w:r w:rsidRPr="00A17B6F">
        <w:rPr>
          <w:rFonts w:ascii="Arial" w:eastAsia="Times New Roman" w:hAnsi="Arial" w:cs="Times New Roman"/>
          <w:b/>
          <w:bCs/>
          <w:sz w:val="28"/>
          <w:szCs w:val="28"/>
          <w:lang w:eastAsia="hr-HR"/>
        </w:rPr>
        <w:br w:type="page"/>
      </w:r>
    </w:p>
    <w:p w14:paraId="6D6C2F6A" w14:textId="77777777"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169CC70A" w14:textId="6D38CA76"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36BC1484" w14:textId="686BEB56"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F3024DA" w14:textId="4502742B"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A2F7F93" w14:textId="5B3DD7BC"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6E8A1D03" w14:textId="4387F480"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51BBA871" w14:textId="2739DE01"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720695DD" w14:textId="01B046C2"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62974389" w14:textId="6006CE6A"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0299BB8" w14:textId="574781D6"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6D4CDE16" w14:textId="38F0D712"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A77A8BB" w14:textId="2B90C395"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6BAC0710" w14:textId="4197EC25"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7C4B20AD" w14:textId="693199DC"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EE8876E" w14:textId="29A06021"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393775C8" w14:textId="77777777" w:rsidR="00AE5586" w:rsidRPr="00A17B6F" w:rsidRDefault="00AE5586"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427E5D7" w14:textId="77777777"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36269EE3" w14:textId="409C178D" w:rsidR="005E302C" w:rsidRPr="00A17B6F" w:rsidRDefault="00AE5586" w:rsidP="005E302C">
      <w:pPr>
        <w:spacing w:after="0" w:line="240" w:lineRule="auto"/>
        <w:ind w:left="360" w:right="72" w:hanging="360"/>
        <w:jc w:val="both"/>
        <w:rPr>
          <w:rFonts w:ascii="Arial" w:eastAsia="Times New Roman" w:hAnsi="Arial" w:cs="Times New Roman"/>
          <w:b/>
          <w:bCs/>
          <w:sz w:val="28"/>
          <w:szCs w:val="28"/>
          <w:lang w:eastAsia="hr-HR"/>
        </w:rPr>
      </w:pPr>
      <w:r w:rsidRPr="00A17B6F">
        <w:rPr>
          <w:rFonts w:ascii="Arial" w:eastAsia="Times New Roman" w:hAnsi="Arial" w:cs="Times New Roman"/>
          <w:b/>
          <w:bCs/>
          <w:sz w:val="28"/>
          <w:szCs w:val="28"/>
          <w:lang w:eastAsia="hr-HR"/>
        </w:rPr>
        <w:t>IV. POSEBNI IZVJEŠTAJI U SKLOPU POLUGODIŠNJEG IZVJEŠTAJA O IZVRŠENJU PRORAČUNA ZA 202</w:t>
      </w:r>
      <w:r w:rsidR="009E3414" w:rsidRPr="00A17B6F">
        <w:rPr>
          <w:rFonts w:ascii="Arial" w:eastAsia="Times New Roman" w:hAnsi="Arial" w:cs="Times New Roman"/>
          <w:b/>
          <w:bCs/>
          <w:sz w:val="28"/>
          <w:szCs w:val="28"/>
          <w:lang w:eastAsia="hr-HR"/>
        </w:rPr>
        <w:t>4</w:t>
      </w:r>
      <w:r w:rsidRPr="00A17B6F">
        <w:rPr>
          <w:rFonts w:ascii="Arial" w:eastAsia="Times New Roman" w:hAnsi="Arial" w:cs="Times New Roman"/>
          <w:b/>
          <w:bCs/>
          <w:sz w:val="28"/>
          <w:szCs w:val="28"/>
          <w:lang w:eastAsia="hr-HR"/>
        </w:rPr>
        <w:t xml:space="preserve">. GODINU </w:t>
      </w:r>
    </w:p>
    <w:p w14:paraId="6FF495A8" w14:textId="77777777"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423CB88D" w14:textId="77777777"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197E2AE" w14:textId="77777777"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5EDD3682" w14:textId="711FD463" w:rsidR="005E302C" w:rsidRPr="00A17B6F" w:rsidRDefault="005E302C">
      <w:pPr>
        <w:rPr>
          <w:rFonts w:ascii="Arial" w:eastAsia="Times New Roman" w:hAnsi="Arial" w:cs="Arial"/>
          <w:b/>
          <w:sz w:val="24"/>
          <w:szCs w:val="24"/>
          <w:lang w:eastAsia="hr-HR"/>
        </w:rPr>
      </w:pPr>
      <w:r w:rsidRPr="00A17B6F">
        <w:rPr>
          <w:rFonts w:ascii="Arial" w:eastAsia="Times New Roman" w:hAnsi="Arial" w:cs="Arial"/>
          <w:b/>
          <w:sz w:val="24"/>
          <w:szCs w:val="24"/>
          <w:lang w:eastAsia="hr-HR"/>
        </w:rPr>
        <w:br w:type="page"/>
      </w:r>
    </w:p>
    <w:p w14:paraId="7B1147D6" w14:textId="4DC108EE" w:rsidR="00B50575" w:rsidRPr="00A17B6F" w:rsidRDefault="00B50575"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A17B6F">
        <w:rPr>
          <w:rFonts w:ascii="Arial" w:eastAsia="Times New Roman" w:hAnsi="Arial" w:cs="Arial"/>
          <w:b/>
          <w:sz w:val="24"/>
          <w:szCs w:val="24"/>
          <w:lang w:eastAsia="hr-HR"/>
        </w:rPr>
        <w:lastRenderedPageBreak/>
        <w:t xml:space="preserve">IZVJEŠTAJ O KORIŠTENJU PRORAČUNSKE ZALIHE U PRVOM </w:t>
      </w:r>
    </w:p>
    <w:p w14:paraId="60FDE64F" w14:textId="5D40A036" w:rsidR="00B50575" w:rsidRPr="00A17B6F" w:rsidRDefault="00B50575"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A17B6F">
        <w:rPr>
          <w:rFonts w:ascii="Arial" w:eastAsia="Times New Roman" w:hAnsi="Arial" w:cs="Arial"/>
          <w:b/>
          <w:sz w:val="24"/>
          <w:szCs w:val="24"/>
          <w:lang w:eastAsia="hr-HR"/>
        </w:rPr>
        <w:t>POLUGODIŠTU 202</w:t>
      </w:r>
      <w:r w:rsidR="009E3414" w:rsidRPr="00A17B6F">
        <w:rPr>
          <w:rFonts w:ascii="Arial" w:eastAsia="Times New Roman" w:hAnsi="Arial" w:cs="Arial"/>
          <w:b/>
          <w:sz w:val="24"/>
          <w:szCs w:val="24"/>
          <w:lang w:eastAsia="hr-HR"/>
        </w:rPr>
        <w:t>4</w:t>
      </w:r>
      <w:r w:rsidRPr="00A17B6F">
        <w:rPr>
          <w:rFonts w:ascii="Arial" w:eastAsia="Times New Roman" w:hAnsi="Arial" w:cs="Arial"/>
          <w:b/>
          <w:sz w:val="24"/>
          <w:szCs w:val="24"/>
          <w:lang w:eastAsia="hr-HR"/>
        </w:rPr>
        <w:t>. GODINE</w:t>
      </w:r>
    </w:p>
    <w:p w14:paraId="0779516D" w14:textId="4E5369A2" w:rsidR="00B50575" w:rsidRPr="00A17B6F" w:rsidRDefault="00B50575"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7108404B" w14:textId="64977248" w:rsidR="008D76E0" w:rsidRPr="00A17B6F" w:rsidRDefault="008D76E0"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10829DF" w14:textId="77777777" w:rsidR="008D76E0" w:rsidRPr="00A17B6F" w:rsidRDefault="008D76E0"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7FC68A4" w14:textId="1D4743BF" w:rsidR="00B50575" w:rsidRPr="00A17B6F" w:rsidRDefault="00AE5586" w:rsidP="009E3414">
      <w:pPr>
        <w:spacing w:after="0" w:line="240" w:lineRule="auto"/>
        <w:ind w:firstLine="708"/>
        <w:jc w:val="both"/>
        <w:rPr>
          <w:rFonts w:ascii="Arial" w:eastAsia="Times New Roman" w:hAnsi="Arial" w:cs="Arial"/>
          <w:b/>
          <w:sz w:val="24"/>
          <w:szCs w:val="24"/>
          <w:lang w:eastAsia="hr-HR"/>
        </w:rPr>
      </w:pPr>
      <w:r w:rsidRPr="00A17B6F">
        <w:rPr>
          <w:rFonts w:ascii="Arial" w:eastAsia="Calibri" w:hAnsi="Arial" w:cs="Arial"/>
          <w:sz w:val="24"/>
          <w:szCs w:val="24"/>
        </w:rPr>
        <w:t>U prvom polugodištu 202</w:t>
      </w:r>
      <w:r w:rsidR="00DE2D9D" w:rsidRPr="00A17B6F">
        <w:rPr>
          <w:rFonts w:ascii="Arial" w:eastAsia="Calibri" w:hAnsi="Arial" w:cs="Arial"/>
          <w:sz w:val="24"/>
          <w:szCs w:val="24"/>
        </w:rPr>
        <w:t>4</w:t>
      </w:r>
      <w:r w:rsidRPr="00A17B6F">
        <w:rPr>
          <w:rFonts w:ascii="Arial" w:eastAsia="Calibri" w:hAnsi="Arial" w:cs="Arial"/>
          <w:sz w:val="24"/>
          <w:szCs w:val="24"/>
        </w:rPr>
        <w:t>. godine proračunsk</w:t>
      </w:r>
      <w:r w:rsidR="008D76E0" w:rsidRPr="00A17B6F">
        <w:rPr>
          <w:rFonts w:ascii="Arial" w:eastAsia="Calibri" w:hAnsi="Arial" w:cs="Arial"/>
          <w:sz w:val="24"/>
          <w:szCs w:val="24"/>
        </w:rPr>
        <w:t>a</w:t>
      </w:r>
      <w:r w:rsidRPr="00A17B6F">
        <w:rPr>
          <w:rFonts w:ascii="Arial" w:eastAsia="Calibri" w:hAnsi="Arial" w:cs="Arial"/>
          <w:sz w:val="24"/>
          <w:szCs w:val="24"/>
        </w:rPr>
        <w:t xml:space="preserve"> zalih</w:t>
      </w:r>
      <w:r w:rsidR="008D76E0" w:rsidRPr="00A17B6F">
        <w:rPr>
          <w:rFonts w:ascii="Arial" w:eastAsia="Calibri" w:hAnsi="Arial" w:cs="Arial"/>
          <w:sz w:val="24"/>
          <w:szCs w:val="24"/>
        </w:rPr>
        <w:t xml:space="preserve">a </w:t>
      </w:r>
      <w:r w:rsidR="009E3414" w:rsidRPr="00A17B6F">
        <w:rPr>
          <w:rFonts w:ascii="Arial" w:eastAsia="Calibri" w:hAnsi="Arial" w:cs="Arial"/>
          <w:sz w:val="24"/>
          <w:szCs w:val="24"/>
        </w:rPr>
        <w:t>ni</w:t>
      </w:r>
      <w:r w:rsidR="008D76E0" w:rsidRPr="00A17B6F">
        <w:rPr>
          <w:rFonts w:ascii="Arial" w:eastAsia="Calibri" w:hAnsi="Arial" w:cs="Arial"/>
          <w:sz w:val="24"/>
          <w:szCs w:val="24"/>
        </w:rPr>
        <w:t>je korištena</w:t>
      </w:r>
      <w:r w:rsidR="009E3414" w:rsidRPr="00A17B6F">
        <w:rPr>
          <w:rFonts w:ascii="Arial" w:eastAsia="Calibri" w:hAnsi="Arial" w:cs="Arial"/>
          <w:sz w:val="24"/>
          <w:szCs w:val="24"/>
        </w:rPr>
        <w:t xml:space="preserve">. </w:t>
      </w:r>
      <w:r w:rsidR="008D76E0" w:rsidRPr="00A17B6F">
        <w:rPr>
          <w:rFonts w:ascii="Arial" w:eastAsia="Calibri" w:hAnsi="Arial" w:cs="Arial"/>
          <w:sz w:val="24"/>
          <w:szCs w:val="24"/>
        </w:rPr>
        <w:t xml:space="preserve"> </w:t>
      </w:r>
    </w:p>
    <w:p w14:paraId="2A7F2F84" w14:textId="1331BA88" w:rsidR="005E302C" w:rsidRPr="00A17B6F" w:rsidRDefault="005E302C">
      <w:pPr>
        <w:rPr>
          <w:rFonts w:ascii="Arial" w:eastAsia="Times New Roman" w:hAnsi="Arial" w:cs="Arial"/>
          <w:b/>
          <w:sz w:val="24"/>
          <w:szCs w:val="24"/>
          <w:lang w:eastAsia="hr-HR"/>
        </w:rPr>
      </w:pPr>
      <w:r w:rsidRPr="00A17B6F">
        <w:rPr>
          <w:rFonts w:ascii="Arial" w:eastAsia="Times New Roman" w:hAnsi="Arial" w:cs="Arial"/>
          <w:b/>
          <w:sz w:val="24"/>
          <w:szCs w:val="24"/>
          <w:lang w:eastAsia="hr-HR"/>
        </w:rPr>
        <w:br w:type="page"/>
      </w:r>
    </w:p>
    <w:p w14:paraId="11420EB8" w14:textId="5DF477BC" w:rsidR="005E302C" w:rsidRPr="00A17B6F" w:rsidRDefault="005E302C" w:rsidP="005E302C">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A17B6F">
        <w:rPr>
          <w:rFonts w:ascii="Arial" w:eastAsia="Times New Roman" w:hAnsi="Arial" w:cs="Arial"/>
          <w:b/>
          <w:sz w:val="24"/>
          <w:szCs w:val="24"/>
          <w:lang w:eastAsia="hr-HR"/>
        </w:rPr>
        <w:lastRenderedPageBreak/>
        <w:t>IZVJEŠTAJ O ZADUŽIVANJU NA DOMAĆEM I STRANOM TRŽIŠTU NOVCA I KAPITALA U PRVOM POLUGODIŠTU 202</w:t>
      </w:r>
      <w:r w:rsidR="00DE2D9D" w:rsidRPr="00A17B6F">
        <w:rPr>
          <w:rFonts w:ascii="Arial" w:eastAsia="Times New Roman" w:hAnsi="Arial" w:cs="Arial"/>
          <w:b/>
          <w:sz w:val="24"/>
          <w:szCs w:val="24"/>
          <w:lang w:eastAsia="hr-HR"/>
        </w:rPr>
        <w:t>4</w:t>
      </w:r>
      <w:r w:rsidRPr="00A17B6F">
        <w:rPr>
          <w:rFonts w:ascii="Arial" w:eastAsia="Times New Roman" w:hAnsi="Arial" w:cs="Arial"/>
          <w:b/>
          <w:sz w:val="24"/>
          <w:szCs w:val="24"/>
          <w:lang w:eastAsia="hr-HR"/>
        </w:rPr>
        <w:t>. GODINE</w:t>
      </w:r>
    </w:p>
    <w:p w14:paraId="2E3B6503" w14:textId="26F3CF1D" w:rsidR="005E302C" w:rsidRPr="00A17B6F" w:rsidRDefault="005E302C" w:rsidP="005E302C">
      <w:pPr>
        <w:spacing w:after="0" w:line="360" w:lineRule="auto"/>
        <w:rPr>
          <w:rFonts w:ascii="Arial" w:eastAsia="Calibri" w:hAnsi="Arial" w:cs="Arial"/>
          <w:sz w:val="24"/>
          <w:szCs w:val="24"/>
        </w:rPr>
      </w:pPr>
    </w:p>
    <w:p w14:paraId="725D54D0" w14:textId="77777777" w:rsidR="0040797C" w:rsidRPr="00A17B6F" w:rsidRDefault="0040797C" w:rsidP="005E302C">
      <w:pPr>
        <w:spacing w:after="0" w:line="360" w:lineRule="auto"/>
        <w:rPr>
          <w:rFonts w:ascii="Arial" w:eastAsia="Calibri" w:hAnsi="Arial" w:cs="Arial"/>
          <w:sz w:val="24"/>
          <w:szCs w:val="24"/>
        </w:rPr>
      </w:pPr>
    </w:p>
    <w:p w14:paraId="44FF9F58" w14:textId="2407654D" w:rsidR="005E302C" w:rsidRPr="00A17B6F" w:rsidRDefault="00225FB4" w:rsidP="00225FB4">
      <w:pPr>
        <w:spacing w:after="0" w:line="240" w:lineRule="auto"/>
        <w:jc w:val="both"/>
        <w:rPr>
          <w:rFonts w:ascii="Arial" w:eastAsia="Calibri" w:hAnsi="Arial" w:cs="Arial"/>
          <w:sz w:val="24"/>
          <w:szCs w:val="24"/>
        </w:rPr>
      </w:pPr>
      <w:r w:rsidRPr="00A17B6F">
        <w:rPr>
          <w:rFonts w:ascii="Arial" w:eastAsia="Calibri" w:hAnsi="Arial" w:cs="Arial"/>
          <w:sz w:val="24"/>
          <w:szCs w:val="24"/>
        </w:rPr>
        <w:tab/>
        <w:t>U prvom polugodištu 202</w:t>
      </w:r>
      <w:r w:rsidR="009E3414" w:rsidRPr="00A17B6F">
        <w:rPr>
          <w:rFonts w:ascii="Arial" w:eastAsia="Calibri" w:hAnsi="Arial" w:cs="Arial"/>
          <w:sz w:val="24"/>
          <w:szCs w:val="24"/>
        </w:rPr>
        <w:t>4</w:t>
      </w:r>
      <w:r w:rsidR="00F319AC">
        <w:rPr>
          <w:rFonts w:ascii="Arial" w:eastAsia="Calibri" w:hAnsi="Arial" w:cs="Arial"/>
          <w:sz w:val="24"/>
          <w:szCs w:val="24"/>
        </w:rPr>
        <w:t>. godine Primorsko</w:t>
      </w:r>
      <w:bookmarkStart w:id="1" w:name="_GoBack"/>
      <w:bookmarkEnd w:id="1"/>
      <w:r w:rsidRPr="00A17B6F">
        <w:rPr>
          <w:rFonts w:ascii="Arial" w:eastAsia="Calibri" w:hAnsi="Arial" w:cs="Arial"/>
          <w:sz w:val="24"/>
          <w:szCs w:val="24"/>
        </w:rPr>
        <w:t xml:space="preserve">–goranska županija </w:t>
      </w:r>
      <w:r w:rsidR="008D76E0" w:rsidRPr="00A17B6F">
        <w:rPr>
          <w:rFonts w:ascii="Arial" w:eastAsia="Calibri" w:hAnsi="Arial" w:cs="Arial"/>
          <w:sz w:val="24"/>
          <w:szCs w:val="24"/>
        </w:rPr>
        <w:t xml:space="preserve">se </w:t>
      </w:r>
      <w:r w:rsidRPr="00A17B6F">
        <w:rPr>
          <w:rFonts w:ascii="Arial" w:eastAsia="Calibri" w:hAnsi="Arial" w:cs="Arial"/>
          <w:sz w:val="24"/>
          <w:szCs w:val="24"/>
        </w:rPr>
        <w:t xml:space="preserve">nije dodatno zaduživala, ali se njen proračunski korisnik, </w:t>
      </w:r>
      <w:proofErr w:type="spellStart"/>
      <w:r w:rsidR="00DE2D9D" w:rsidRPr="00A17B6F">
        <w:rPr>
          <w:rFonts w:ascii="Arial" w:eastAsia="Calibri" w:hAnsi="Arial" w:cs="Arial"/>
          <w:sz w:val="24"/>
          <w:szCs w:val="24"/>
        </w:rPr>
        <w:t>Thalassotherapia</w:t>
      </w:r>
      <w:proofErr w:type="spellEnd"/>
      <w:r w:rsidRPr="00A17B6F">
        <w:rPr>
          <w:rFonts w:ascii="Arial" w:eastAsia="Calibri" w:hAnsi="Arial" w:cs="Arial"/>
          <w:sz w:val="24"/>
          <w:szCs w:val="24"/>
        </w:rPr>
        <w:t xml:space="preserve"> Opatija, temeljem suglasnosti Županijske skupštine od </w:t>
      </w:r>
      <w:r w:rsidR="00CA46B7" w:rsidRPr="00A17B6F">
        <w:rPr>
          <w:rFonts w:ascii="Arial" w:eastAsia="Calibri" w:hAnsi="Arial" w:cs="Arial"/>
          <w:sz w:val="24"/>
          <w:szCs w:val="24"/>
        </w:rPr>
        <w:t>13</w:t>
      </w:r>
      <w:r w:rsidRPr="00A17B6F">
        <w:rPr>
          <w:rFonts w:ascii="Arial" w:eastAsia="Calibri" w:hAnsi="Arial" w:cs="Arial"/>
          <w:sz w:val="24"/>
          <w:szCs w:val="24"/>
        </w:rPr>
        <w:t xml:space="preserve">. </w:t>
      </w:r>
      <w:r w:rsidR="00CA46B7" w:rsidRPr="00A17B6F">
        <w:rPr>
          <w:rFonts w:ascii="Arial" w:eastAsia="Calibri" w:hAnsi="Arial" w:cs="Arial"/>
          <w:sz w:val="24"/>
          <w:szCs w:val="24"/>
        </w:rPr>
        <w:t>lipnja</w:t>
      </w:r>
      <w:r w:rsidRPr="00A17B6F">
        <w:rPr>
          <w:rFonts w:ascii="Arial" w:eastAsia="Calibri" w:hAnsi="Arial" w:cs="Arial"/>
          <w:sz w:val="24"/>
          <w:szCs w:val="24"/>
        </w:rPr>
        <w:t xml:space="preserve"> 202</w:t>
      </w:r>
      <w:r w:rsidR="00CA46B7" w:rsidRPr="00A17B6F">
        <w:rPr>
          <w:rFonts w:ascii="Arial" w:eastAsia="Calibri" w:hAnsi="Arial" w:cs="Arial"/>
          <w:sz w:val="24"/>
          <w:szCs w:val="24"/>
        </w:rPr>
        <w:t>4</w:t>
      </w:r>
      <w:r w:rsidRPr="00A17B6F">
        <w:rPr>
          <w:rFonts w:ascii="Arial" w:eastAsia="Calibri" w:hAnsi="Arial" w:cs="Arial"/>
          <w:sz w:val="24"/>
          <w:szCs w:val="24"/>
        </w:rPr>
        <w:t xml:space="preserve">. godine, </w:t>
      </w:r>
      <w:r w:rsidR="008D76E0" w:rsidRPr="00A17B6F">
        <w:rPr>
          <w:rFonts w:ascii="Arial" w:eastAsia="Calibri" w:hAnsi="Arial" w:cs="Arial"/>
          <w:sz w:val="24"/>
          <w:szCs w:val="24"/>
        </w:rPr>
        <w:t xml:space="preserve">dugoročno </w:t>
      </w:r>
      <w:r w:rsidR="00DE2D9D" w:rsidRPr="00A17B6F">
        <w:rPr>
          <w:rFonts w:ascii="Arial" w:eastAsia="Calibri" w:hAnsi="Arial" w:cs="Arial"/>
          <w:sz w:val="24"/>
          <w:szCs w:val="24"/>
        </w:rPr>
        <w:t>zadužio</w:t>
      </w:r>
      <w:r w:rsidRPr="00A17B6F">
        <w:rPr>
          <w:rFonts w:ascii="Arial" w:eastAsia="Calibri" w:hAnsi="Arial" w:cs="Arial"/>
          <w:sz w:val="24"/>
          <w:szCs w:val="24"/>
        </w:rPr>
        <w:t xml:space="preserve"> za </w:t>
      </w:r>
      <w:r w:rsidR="00AE5586" w:rsidRPr="00A17B6F">
        <w:rPr>
          <w:rFonts w:ascii="Arial" w:eastAsia="Calibri" w:hAnsi="Arial" w:cs="Arial"/>
          <w:sz w:val="24"/>
          <w:szCs w:val="24"/>
        </w:rPr>
        <w:t xml:space="preserve">financiranje </w:t>
      </w:r>
      <w:r w:rsidR="00DE2D9D" w:rsidRPr="00A17B6F">
        <w:rPr>
          <w:rFonts w:ascii="Arial" w:eastAsia="Calibri" w:hAnsi="Arial" w:cs="Arial"/>
          <w:sz w:val="24"/>
          <w:szCs w:val="24"/>
        </w:rPr>
        <w:t>magnetske rezonance</w:t>
      </w:r>
      <w:r w:rsidR="00AE5586" w:rsidRPr="00A17B6F">
        <w:rPr>
          <w:rFonts w:ascii="Arial" w:eastAsia="Calibri" w:hAnsi="Arial" w:cs="Arial"/>
          <w:sz w:val="24"/>
          <w:szCs w:val="24"/>
        </w:rPr>
        <w:t>, kako slijedi:</w:t>
      </w:r>
    </w:p>
    <w:p w14:paraId="57335130" w14:textId="66BE8EFA" w:rsidR="005E302C" w:rsidRPr="00A17B6F" w:rsidRDefault="005E302C" w:rsidP="005E302C">
      <w:pPr>
        <w:spacing w:after="0" w:line="360" w:lineRule="auto"/>
        <w:rPr>
          <w:rFonts w:ascii="Arial" w:eastAsia="Calibri" w:hAnsi="Arial" w:cs="Arial"/>
          <w:sz w:val="24"/>
          <w:szCs w:val="24"/>
        </w:rPr>
      </w:pPr>
    </w:p>
    <w:tbl>
      <w:tblPr>
        <w:tblStyle w:val="TableGrid1"/>
        <w:tblW w:w="10343" w:type="dxa"/>
        <w:tblBorders>
          <w:left w:val="none" w:sz="0" w:space="0" w:color="auto"/>
          <w:right w:val="none" w:sz="0" w:space="0" w:color="auto"/>
          <w:insideV w:val="none" w:sz="0" w:space="0" w:color="auto"/>
        </w:tblBorders>
        <w:tblLook w:val="04A0" w:firstRow="1" w:lastRow="0" w:firstColumn="1" w:lastColumn="0" w:noHBand="0" w:noVBand="1"/>
      </w:tblPr>
      <w:tblGrid>
        <w:gridCol w:w="2284"/>
        <w:gridCol w:w="2408"/>
        <w:gridCol w:w="1731"/>
        <w:gridCol w:w="2211"/>
        <w:gridCol w:w="1709"/>
      </w:tblGrid>
      <w:tr w:rsidR="005E302C" w:rsidRPr="00A17B6F" w14:paraId="44666936" w14:textId="77777777" w:rsidTr="00225FB4">
        <w:trPr>
          <w:trHeight w:val="898"/>
        </w:trPr>
        <w:tc>
          <w:tcPr>
            <w:tcW w:w="1850" w:type="dxa"/>
          </w:tcPr>
          <w:p w14:paraId="379EF876" w14:textId="77777777" w:rsidR="005E302C" w:rsidRPr="00A17B6F" w:rsidRDefault="005E302C" w:rsidP="005E302C">
            <w:pPr>
              <w:rPr>
                <w:rFonts w:eastAsia="Calibri"/>
                <w:b/>
                <w:sz w:val="20"/>
                <w:szCs w:val="20"/>
              </w:rPr>
            </w:pPr>
            <w:r w:rsidRPr="00A17B6F">
              <w:rPr>
                <w:rFonts w:eastAsia="Calibri"/>
                <w:b/>
                <w:sz w:val="20"/>
                <w:szCs w:val="20"/>
              </w:rPr>
              <w:t>Dužnik</w:t>
            </w:r>
          </w:p>
          <w:p w14:paraId="68AE8E92" w14:textId="77777777" w:rsidR="005E302C" w:rsidRPr="00A17B6F" w:rsidRDefault="005E302C" w:rsidP="005E302C">
            <w:pPr>
              <w:rPr>
                <w:rFonts w:eastAsia="Calibri"/>
                <w:b/>
                <w:sz w:val="20"/>
                <w:szCs w:val="20"/>
              </w:rPr>
            </w:pPr>
            <w:r w:rsidRPr="00A17B6F">
              <w:rPr>
                <w:rFonts w:eastAsia="Calibri"/>
                <w:b/>
                <w:sz w:val="20"/>
                <w:szCs w:val="20"/>
              </w:rPr>
              <w:t>(PGŽ / proračunski korisnik)</w:t>
            </w:r>
          </w:p>
        </w:tc>
        <w:tc>
          <w:tcPr>
            <w:tcW w:w="2563" w:type="dxa"/>
          </w:tcPr>
          <w:p w14:paraId="0BA070BA" w14:textId="77777777" w:rsidR="005E302C" w:rsidRPr="00A17B6F" w:rsidRDefault="005E302C" w:rsidP="005E302C">
            <w:pPr>
              <w:rPr>
                <w:rFonts w:eastAsia="Calibri"/>
                <w:b/>
                <w:sz w:val="20"/>
                <w:szCs w:val="20"/>
              </w:rPr>
            </w:pPr>
            <w:r w:rsidRPr="00A17B6F">
              <w:rPr>
                <w:rFonts w:eastAsia="Calibri"/>
                <w:b/>
                <w:sz w:val="20"/>
                <w:szCs w:val="20"/>
              </w:rPr>
              <w:t>Opis zaduženja po vrsti instrumenta / valutnoj / kamatnoj i ročnoj strukturi</w:t>
            </w:r>
          </w:p>
        </w:tc>
        <w:tc>
          <w:tcPr>
            <w:tcW w:w="1794" w:type="dxa"/>
          </w:tcPr>
          <w:p w14:paraId="25114273" w14:textId="77777777" w:rsidR="005E302C" w:rsidRPr="00A17B6F" w:rsidRDefault="005E302C" w:rsidP="005E302C">
            <w:pPr>
              <w:rPr>
                <w:rFonts w:eastAsia="Calibri"/>
                <w:b/>
                <w:sz w:val="20"/>
                <w:szCs w:val="20"/>
              </w:rPr>
            </w:pPr>
            <w:r w:rsidRPr="00A17B6F">
              <w:rPr>
                <w:rFonts w:eastAsia="Calibri"/>
                <w:b/>
                <w:sz w:val="20"/>
                <w:szCs w:val="20"/>
              </w:rPr>
              <w:t>Namjena</w:t>
            </w:r>
          </w:p>
        </w:tc>
        <w:tc>
          <w:tcPr>
            <w:tcW w:w="2379" w:type="dxa"/>
          </w:tcPr>
          <w:p w14:paraId="222EF611" w14:textId="77777777" w:rsidR="005E302C" w:rsidRPr="00A17B6F" w:rsidRDefault="005E302C" w:rsidP="005E302C">
            <w:pPr>
              <w:rPr>
                <w:rFonts w:eastAsia="Calibri"/>
                <w:b/>
                <w:sz w:val="20"/>
                <w:szCs w:val="20"/>
              </w:rPr>
            </w:pPr>
            <w:r w:rsidRPr="00A17B6F">
              <w:rPr>
                <w:rFonts w:eastAsia="Calibri"/>
                <w:b/>
                <w:sz w:val="20"/>
                <w:szCs w:val="20"/>
              </w:rPr>
              <w:t>Kreditor</w:t>
            </w:r>
          </w:p>
        </w:tc>
        <w:tc>
          <w:tcPr>
            <w:tcW w:w="1757" w:type="dxa"/>
          </w:tcPr>
          <w:p w14:paraId="7EA2BE2B" w14:textId="77777777" w:rsidR="005E302C" w:rsidRPr="00A17B6F" w:rsidRDefault="005E302C" w:rsidP="005E302C">
            <w:pPr>
              <w:rPr>
                <w:rFonts w:eastAsia="Calibri"/>
                <w:b/>
                <w:sz w:val="20"/>
                <w:szCs w:val="20"/>
              </w:rPr>
            </w:pPr>
            <w:r w:rsidRPr="00A17B6F">
              <w:rPr>
                <w:rFonts w:eastAsia="Calibri"/>
                <w:b/>
                <w:sz w:val="20"/>
                <w:szCs w:val="20"/>
              </w:rPr>
              <w:t>Iznos kredita</w:t>
            </w:r>
          </w:p>
        </w:tc>
      </w:tr>
      <w:tr w:rsidR="005E302C" w:rsidRPr="00A17B6F" w14:paraId="3F00CDBB" w14:textId="77777777" w:rsidTr="00AE5586">
        <w:trPr>
          <w:trHeight w:val="2249"/>
        </w:trPr>
        <w:tc>
          <w:tcPr>
            <w:tcW w:w="1850" w:type="dxa"/>
            <w:vAlign w:val="center"/>
          </w:tcPr>
          <w:p w14:paraId="27DF248B" w14:textId="5347D2CB" w:rsidR="005E302C" w:rsidRPr="00A17B6F" w:rsidRDefault="00DE2D9D" w:rsidP="005E302C">
            <w:pPr>
              <w:rPr>
                <w:rFonts w:eastAsia="Calibri"/>
                <w:sz w:val="20"/>
                <w:szCs w:val="20"/>
              </w:rPr>
            </w:pPr>
            <w:r w:rsidRPr="00A17B6F">
              <w:rPr>
                <w:rFonts w:eastAsia="Calibri"/>
                <w:sz w:val="20"/>
                <w:szCs w:val="20"/>
              </w:rPr>
              <w:t>THALASSOTHERAPIA OPATIJA, SPECIJALNA BOLNICA ZA MEDICINSKU REHABILITACIJU BOLESTI SRCA, PLUĆA I REUMATIZMA</w:t>
            </w:r>
          </w:p>
        </w:tc>
        <w:tc>
          <w:tcPr>
            <w:tcW w:w="2563" w:type="dxa"/>
            <w:vAlign w:val="center"/>
          </w:tcPr>
          <w:p w14:paraId="46DBEF29" w14:textId="77777777" w:rsidR="00DE2D9D" w:rsidRPr="00A17B6F" w:rsidRDefault="00DE2D9D" w:rsidP="005E302C">
            <w:pPr>
              <w:rPr>
                <w:rFonts w:eastAsia="Calibri"/>
                <w:sz w:val="20"/>
                <w:szCs w:val="20"/>
              </w:rPr>
            </w:pPr>
          </w:p>
          <w:p w14:paraId="136F674B" w14:textId="77777777" w:rsidR="005E302C" w:rsidRPr="00A17B6F" w:rsidRDefault="00DE2D9D" w:rsidP="005E302C">
            <w:pPr>
              <w:rPr>
                <w:rFonts w:eastAsia="Calibri"/>
                <w:sz w:val="20"/>
                <w:szCs w:val="20"/>
              </w:rPr>
            </w:pPr>
            <w:r w:rsidRPr="00A17B6F">
              <w:rPr>
                <w:rFonts w:eastAsia="Calibri"/>
                <w:sz w:val="20"/>
                <w:szCs w:val="20"/>
              </w:rPr>
              <w:t>Tuzemni dugoročni kredit u EUR uz fiksnu kamatnu stopu od 3,15% na iskorišteni iznos kredita godišnje s rokom korištenja do 30.10.2024. godine i uz rok otplate od 5 godina s otplatom u jednakim mjesečnim ratama počevši od 31.10.2024. Instrument osiguranja: obična zadužnica</w:t>
            </w:r>
          </w:p>
          <w:p w14:paraId="3689BFDD" w14:textId="7E72C152" w:rsidR="00DE2D9D" w:rsidRPr="00A17B6F" w:rsidRDefault="00DE2D9D" w:rsidP="005E302C">
            <w:pPr>
              <w:rPr>
                <w:rFonts w:eastAsia="Calibri"/>
                <w:sz w:val="20"/>
                <w:szCs w:val="20"/>
              </w:rPr>
            </w:pPr>
          </w:p>
        </w:tc>
        <w:tc>
          <w:tcPr>
            <w:tcW w:w="1794" w:type="dxa"/>
            <w:vAlign w:val="center"/>
          </w:tcPr>
          <w:p w14:paraId="5D92532E" w14:textId="17408FEE" w:rsidR="005E302C" w:rsidRPr="00A17B6F" w:rsidRDefault="00DE2D9D" w:rsidP="005E302C">
            <w:pPr>
              <w:rPr>
                <w:rFonts w:eastAsia="Calibri"/>
                <w:sz w:val="20"/>
                <w:szCs w:val="20"/>
              </w:rPr>
            </w:pPr>
            <w:r w:rsidRPr="00A17B6F">
              <w:rPr>
                <w:rFonts w:eastAsia="Calibri"/>
                <w:sz w:val="20"/>
                <w:szCs w:val="20"/>
              </w:rPr>
              <w:t>Financiranje nabave magnetske rezonance 3T sa uređenjem prostora „ključ u ruke“</w:t>
            </w:r>
          </w:p>
        </w:tc>
        <w:tc>
          <w:tcPr>
            <w:tcW w:w="2379" w:type="dxa"/>
            <w:vAlign w:val="center"/>
          </w:tcPr>
          <w:p w14:paraId="518DFA01" w14:textId="5D89E2F6" w:rsidR="005E302C" w:rsidRPr="00A17B6F" w:rsidRDefault="00DE2D9D" w:rsidP="005E302C">
            <w:pPr>
              <w:rPr>
                <w:rFonts w:eastAsia="Calibri"/>
                <w:sz w:val="20"/>
                <w:szCs w:val="20"/>
              </w:rPr>
            </w:pPr>
            <w:r w:rsidRPr="00A17B6F">
              <w:rPr>
                <w:rFonts w:eastAsia="Calibri"/>
                <w:sz w:val="20"/>
                <w:szCs w:val="20"/>
              </w:rPr>
              <w:t>Privredna banka Zagreb d.d.</w:t>
            </w:r>
          </w:p>
        </w:tc>
        <w:tc>
          <w:tcPr>
            <w:tcW w:w="1757" w:type="dxa"/>
            <w:vAlign w:val="center"/>
          </w:tcPr>
          <w:p w14:paraId="4EBCE097" w14:textId="5C9F62F1" w:rsidR="005E302C" w:rsidRPr="00A17B6F" w:rsidRDefault="00DE2D9D" w:rsidP="005E302C">
            <w:pPr>
              <w:rPr>
                <w:rFonts w:eastAsia="Calibri"/>
                <w:sz w:val="20"/>
                <w:szCs w:val="20"/>
              </w:rPr>
            </w:pPr>
            <w:r w:rsidRPr="00A17B6F">
              <w:rPr>
                <w:rFonts w:eastAsia="Calibri"/>
                <w:sz w:val="20"/>
                <w:szCs w:val="20"/>
              </w:rPr>
              <w:t>2.055.000,00 EUR</w:t>
            </w:r>
          </w:p>
        </w:tc>
      </w:tr>
    </w:tbl>
    <w:p w14:paraId="69E7304F" w14:textId="77777777" w:rsidR="005E302C" w:rsidRPr="00A17B6F" w:rsidRDefault="005E302C" w:rsidP="005E302C">
      <w:pPr>
        <w:spacing w:after="0" w:line="360" w:lineRule="auto"/>
        <w:ind w:left="426"/>
        <w:rPr>
          <w:rFonts w:ascii="Arial" w:eastAsia="Calibri" w:hAnsi="Arial" w:cs="Arial"/>
          <w:sz w:val="24"/>
          <w:szCs w:val="24"/>
        </w:rPr>
      </w:pPr>
    </w:p>
    <w:p w14:paraId="75CDBEDB" w14:textId="77777777"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1135196" w14:textId="7D2DAB00"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5C061217" w14:textId="6FF0D631"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5560DD7" w14:textId="515DA448"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10743A52" w14:textId="55EE1F4C"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B3399B3" w14:textId="759C41DD"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697B353" w14:textId="04C72A55"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67AFB4AD" w14:textId="5AB33AB8"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8E097EF" w14:textId="4B3185AA"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45E19C6E" w14:textId="7B3B0159"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1AFA7EC" w14:textId="6AC9D47C"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5BE98B63" w14:textId="29953600"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5C455A17" w14:textId="6B9E181E"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7D872CE6" w14:textId="45D267EB"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33E97FA8" w14:textId="1FD32F58"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3CBF83F" w14:textId="42FF41FB"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559323C2" w14:textId="08CFA0B2"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05490A0" w14:textId="673D1A4C"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E26BD16" w14:textId="1F30C8EA"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D987D45" w14:textId="4E0A85C0"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4B9EDBF" w14:textId="6BE26770"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67A73696" w14:textId="457DBC7E" w:rsidR="005E302C" w:rsidRPr="00A17B6F" w:rsidRDefault="005E302C">
      <w:pPr>
        <w:rPr>
          <w:rFonts w:ascii="Arial" w:eastAsia="Times New Roman" w:hAnsi="Arial" w:cs="Arial"/>
          <w:b/>
          <w:sz w:val="24"/>
          <w:szCs w:val="24"/>
          <w:lang w:eastAsia="hr-HR"/>
        </w:rPr>
      </w:pPr>
      <w:r w:rsidRPr="00A17B6F">
        <w:rPr>
          <w:rFonts w:ascii="Arial" w:eastAsia="Times New Roman" w:hAnsi="Arial" w:cs="Arial"/>
          <w:b/>
          <w:sz w:val="24"/>
          <w:szCs w:val="24"/>
          <w:lang w:eastAsia="hr-HR"/>
        </w:rPr>
        <w:br w:type="page"/>
      </w:r>
    </w:p>
    <w:p w14:paraId="406AE3C1" w14:textId="77777777" w:rsidR="00225FB4" w:rsidRPr="00A17B6F" w:rsidRDefault="00225FB4"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3B4FA6E" w14:textId="674E42F0" w:rsidR="005E302C" w:rsidRPr="00A17B6F" w:rsidRDefault="00225FB4"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A17B6F">
        <w:rPr>
          <w:rFonts w:ascii="Arial" w:eastAsia="Times New Roman" w:hAnsi="Arial" w:cs="Arial"/>
          <w:b/>
          <w:sz w:val="24"/>
          <w:szCs w:val="24"/>
          <w:lang w:eastAsia="hr-HR"/>
        </w:rPr>
        <w:t>IZVJEŠTAJ O DANIM JAMSTVIMA I PLAĆANJIMA PO PROTESTIRANIM JAMSTVIMA</w:t>
      </w:r>
    </w:p>
    <w:p w14:paraId="567162D3" w14:textId="56E9103E"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46210153" w14:textId="7B3CAF15" w:rsidR="005E302C" w:rsidRPr="00A17B6F"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6215A1FA" w14:textId="15406270" w:rsidR="005E302C" w:rsidRPr="00225FB4" w:rsidRDefault="00225FB4" w:rsidP="00225FB4">
      <w:pPr>
        <w:overflowPunct w:val="0"/>
        <w:autoSpaceDE w:val="0"/>
        <w:autoSpaceDN w:val="0"/>
        <w:adjustRightInd w:val="0"/>
        <w:spacing w:after="0" w:line="240" w:lineRule="auto"/>
        <w:jc w:val="both"/>
        <w:rPr>
          <w:rFonts w:ascii="Arial" w:eastAsia="Times New Roman" w:hAnsi="Arial" w:cs="Arial"/>
          <w:sz w:val="24"/>
          <w:szCs w:val="24"/>
          <w:lang w:eastAsia="hr-HR"/>
        </w:rPr>
      </w:pPr>
      <w:r w:rsidRPr="00A17B6F">
        <w:rPr>
          <w:rFonts w:ascii="Arial" w:eastAsia="Times New Roman" w:hAnsi="Arial" w:cs="Arial"/>
          <w:sz w:val="24"/>
          <w:szCs w:val="24"/>
          <w:lang w:eastAsia="hr-HR"/>
        </w:rPr>
        <w:tab/>
        <w:t>U izvještajnom razdoblju nije bilo novih danih jamstava ni plaćanja po protestiranim jamstvima</w:t>
      </w:r>
      <w:r w:rsidR="00AE5586" w:rsidRPr="00A17B6F">
        <w:rPr>
          <w:rFonts w:ascii="Arial" w:eastAsia="Times New Roman" w:hAnsi="Arial" w:cs="Arial"/>
          <w:sz w:val="24"/>
          <w:szCs w:val="24"/>
          <w:lang w:eastAsia="hr-HR"/>
        </w:rPr>
        <w:t xml:space="preserve"> Primorsko-goranske županije.</w:t>
      </w:r>
    </w:p>
    <w:p w14:paraId="10648434" w14:textId="7B3085D8" w:rsidR="005E302C"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0F8BB033" w14:textId="7CF34A66" w:rsidR="005E302C"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1C7A1BE6" w14:textId="138D0F50" w:rsidR="005E302C"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259131DA" w14:textId="4E323E1A" w:rsidR="005E302C"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78855757" w14:textId="2E749406" w:rsidR="005E302C"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495F87EA" w14:textId="70EDFEC3" w:rsidR="005E302C"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7553681C" w14:textId="1BCE0252" w:rsidR="005E302C"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p w14:paraId="493BB8EA" w14:textId="77777777" w:rsidR="005E302C" w:rsidRPr="00B50575" w:rsidRDefault="005E302C" w:rsidP="00B50575">
      <w:pPr>
        <w:overflowPunct w:val="0"/>
        <w:autoSpaceDE w:val="0"/>
        <w:autoSpaceDN w:val="0"/>
        <w:adjustRightInd w:val="0"/>
        <w:spacing w:after="0" w:line="240" w:lineRule="auto"/>
        <w:jc w:val="center"/>
        <w:rPr>
          <w:rFonts w:ascii="Arial" w:eastAsia="Times New Roman" w:hAnsi="Arial" w:cs="Arial"/>
          <w:b/>
          <w:sz w:val="24"/>
          <w:szCs w:val="24"/>
          <w:lang w:eastAsia="hr-HR"/>
        </w:rPr>
      </w:pPr>
    </w:p>
    <w:sectPr w:rsidR="005E302C" w:rsidRPr="00B50575" w:rsidSect="007C6E0C">
      <w:headerReference w:type="even" r:id="rId15"/>
      <w:headerReference w:type="default" r:id="rId16"/>
      <w:footerReference w:type="even" r:id="rId17"/>
      <w:pgSz w:w="11906" w:h="16838"/>
      <w:pgMar w:top="1134" w:right="707" w:bottom="1276" w:left="993"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D49DC" w14:textId="77777777" w:rsidR="00131096" w:rsidRDefault="00131096">
      <w:pPr>
        <w:spacing w:after="0" w:line="240" w:lineRule="auto"/>
      </w:pPr>
      <w:r>
        <w:separator/>
      </w:r>
    </w:p>
  </w:endnote>
  <w:endnote w:type="continuationSeparator" w:id="0">
    <w:p w14:paraId="5F24B219" w14:textId="77777777" w:rsidR="00131096" w:rsidRDefault="00131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9EF5F" w14:textId="77777777" w:rsidR="00131096" w:rsidRDefault="00131096" w:rsidP="00114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30EF57" w14:textId="77777777" w:rsidR="00131096" w:rsidRDefault="00131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E9E04" w14:textId="77777777" w:rsidR="00131096" w:rsidRDefault="00131096">
      <w:pPr>
        <w:spacing w:after="0" w:line="240" w:lineRule="auto"/>
      </w:pPr>
      <w:r>
        <w:separator/>
      </w:r>
    </w:p>
  </w:footnote>
  <w:footnote w:type="continuationSeparator" w:id="0">
    <w:p w14:paraId="1702DDE7" w14:textId="77777777" w:rsidR="00131096" w:rsidRDefault="00131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AB77" w14:textId="77777777" w:rsidR="00131096" w:rsidRDefault="0013109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48A310" w14:textId="77777777" w:rsidR="00131096" w:rsidRDefault="001310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E35C4" w14:textId="77777777" w:rsidR="00131096" w:rsidRDefault="00131096">
    <w:pPr>
      <w:pStyle w:val="Header"/>
      <w:framePr w:wrap="around" w:vAnchor="text" w:hAnchor="margin" w:xAlign="center" w:y="1"/>
      <w:rPr>
        <w:rStyle w:val="PageNumber"/>
      </w:rPr>
    </w:pPr>
  </w:p>
  <w:p w14:paraId="5B517D90" w14:textId="77777777" w:rsidR="00131096" w:rsidRDefault="00131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3AAE83A"/>
    <w:lvl w:ilvl="0">
      <w:numFmt w:val="decimal"/>
      <w:lvlText w:val="*"/>
      <w:lvlJc w:val="left"/>
    </w:lvl>
  </w:abstractNum>
  <w:abstractNum w:abstractNumId="1" w15:restartNumberingAfterBreak="0">
    <w:nsid w:val="06E6565C"/>
    <w:multiLevelType w:val="hybridMultilevel"/>
    <w:tmpl w:val="B056490A"/>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041A0019">
      <w:start w:val="1"/>
      <w:numFmt w:val="lowerLetter"/>
      <w:lvlText w:val="%2."/>
      <w:lvlJc w:val="left"/>
      <w:pPr>
        <w:tabs>
          <w:tab w:val="num" w:pos="1440"/>
        </w:tabs>
        <w:ind w:left="1440" w:hanging="360"/>
      </w:pPr>
      <w:rPr>
        <w:rFonts w:hint="default"/>
        <w:color w:val="auto"/>
        <w:sz w:val="24"/>
        <w:szCs w:val="24"/>
      </w:rPr>
    </w:lvl>
    <w:lvl w:ilvl="2" w:tplc="27F6711A">
      <w:start w:val="1"/>
      <w:numFmt w:val="decimal"/>
      <w:lvlText w:val="%3."/>
      <w:lvlJc w:val="left"/>
      <w:pPr>
        <w:ind w:left="1495" w:hanging="360"/>
      </w:pPr>
      <w:rPr>
        <w:rFonts w:hint="default"/>
      </w:rPr>
    </w:lvl>
    <w:lvl w:ilvl="3" w:tplc="93244BC4">
      <w:start w:val="167"/>
      <w:numFmt w:val="bullet"/>
      <w:lvlText w:val="-"/>
      <w:lvlJc w:val="left"/>
      <w:pPr>
        <w:ind w:left="2880" w:hanging="360"/>
      </w:pPr>
      <w:rPr>
        <w:rFonts w:ascii="Arial" w:eastAsia="Times New Roman" w:hAnsi="Arial" w:cs="Arial" w:hint="default"/>
      </w:r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090659A9"/>
    <w:multiLevelType w:val="hybridMultilevel"/>
    <w:tmpl w:val="1190133E"/>
    <w:lvl w:ilvl="0" w:tplc="8FA406E4">
      <w:start w:val="1"/>
      <w:numFmt w:val="upperRoman"/>
      <w:pStyle w:val="Heading5"/>
      <w:lvlText w:val="%1."/>
      <w:lvlJc w:val="right"/>
      <w:pPr>
        <w:tabs>
          <w:tab w:val="num" w:pos="720"/>
        </w:tabs>
        <w:ind w:left="720" w:hanging="180"/>
      </w:pPr>
    </w:lvl>
    <w:lvl w:ilvl="1" w:tplc="041A0017">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16457CD9"/>
    <w:multiLevelType w:val="hybridMultilevel"/>
    <w:tmpl w:val="D32280FC"/>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 w15:restartNumberingAfterBreak="0">
    <w:nsid w:val="19BF57E8"/>
    <w:multiLevelType w:val="hybridMultilevel"/>
    <w:tmpl w:val="555068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CCD23CB"/>
    <w:multiLevelType w:val="hybridMultilevel"/>
    <w:tmpl w:val="89644B72"/>
    <w:lvl w:ilvl="0" w:tplc="29F63EE0">
      <w:start w:val="1"/>
      <w:numFmt w:val="decimal"/>
      <w:lvlText w:val="%1."/>
      <w:lvlJc w:val="left"/>
      <w:pPr>
        <w:tabs>
          <w:tab w:val="num" w:pos="720"/>
        </w:tabs>
        <w:ind w:left="720" w:hanging="360"/>
      </w:pPr>
      <w:rPr>
        <w:rFonts w:hint="default"/>
        <w:b w:val="0"/>
        <w:sz w:val="24"/>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23A05D93"/>
    <w:multiLevelType w:val="hybridMultilevel"/>
    <w:tmpl w:val="4F443C1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2F6A3D27"/>
    <w:multiLevelType w:val="hybridMultilevel"/>
    <w:tmpl w:val="8B9A155A"/>
    <w:lvl w:ilvl="0" w:tplc="BCC0874A">
      <w:numFmt w:val="bullet"/>
      <w:lvlText w:val="-"/>
      <w:lvlJc w:val="left"/>
      <w:pPr>
        <w:ind w:left="8565" w:hanging="360"/>
      </w:pPr>
      <w:rPr>
        <w:rFonts w:ascii="Arial" w:eastAsiaTheme="minorHAnsi" w:hAnsi="Arial" w:cs="Arial" w:hint="default"/>
      </w:rPr>
    </w:lvl>
    <w:lvl w:ilvl="1" w:tplc="041A0003" w:tentative="1">
      <w:start w:val="1"/>
      <w:numFmt w:val="bullet"/>
      <w:lvlText w:val="o"/>
      <w:lvlJc w:val="left"/>
      <w:pPr>
        <w:ind w:left="9285" w:hanging="360"/>
      </w:pPr>
      <w:rPr>
        <w:rFonts w:ascii="Courier New" w:hAnsi="Courier New" w:cs="Courier New" w:hint="default"/>
      </w:rPr>
    </w:lvl>
    <w:lvl w:ilvl="2" w:tplc="041A0005" w:tentative="1">
      <w:start w:val="1"/>
      <w:numFmt w:val="bullet"/>
      <w:lvlText w:val=""/>
      <w:lvlJc w:val="left"/>
      <w:pPr>
        <w:ind w:left="10005" w:hanging="360"/>
      </w:pPr>
      <w:rPr>
        <w:rFonts w:ascii="Wingdings" w:hAnsi="Wingdings" w:hint="default"/>
      </w:rPr>
    </w:lvl>
    <w:lvl w:ilvl="3" w:tplc="041A0001" w:tentative="1">
      <w:start w:val="1"/>
      <w:numFmt w:val="bullet"/>
      <w:lvlText w:val=""/>
      <w:lvlJc w:val="left"/>
      <w:pPr>
        <w:ind w:left="10725" w:hanging="360"/>
      </w:pPr>
      <w:rPr>
        <w:rFonts w:ascii="Symbol" w:hAnsi="Symbol" w:hint="default"/>
      </w:rPr>
    </w:lvl>
    <w:lvl w:ilvl="4" w:tplc="041A0003" w:tentative="1">
      <w:start w:val="1"/>
      <w:numFmt w:val="bullet"/>
      <w:lvlText w:val="o"/>
      <w:lvlJc w:val="left"/>
      <w:pPr>
        <w:ind w:left="11445" w:hanging="360"/>
      </w:pPr>
      <w:rPr>
        <w:rFonts w:ascii="Courier New" w:hAnsi="Courier New" w:cs="Courier New" w:hint="default"/>
      </w:rPr>
    </w:lvl>
    <w:lvl w:ilvl="5" w:tplc="041A0005" w:tentative="1">
      <w:start w:val="1"/>
      <w:numFmt w:val="bullet"/>
      <w:lvlText w:val=""/>
      <w:lvlJc w:val="left"/>
      <w:pPr>
        <w:ind w:left="12165" w:hanging="360"/>
      </w:pPr>
      <w:rPr>
        <w:rFonts w:ascii="Wingdings" w:hAnsi="Wingdings" w:hint="default"/>
      </w:rPr>
    </w:lvl>
    <w:lvl w:ilvl="6" w:tplc="041A0001" w:tentative="1">
      <w:start w:val="1"/>
      <w:numFmt w:val="bullet"/>
      <w:lvlText w:val=""/>
      <w:lvlJc w:val="left"/>
      <w:pPr>
        <w:ind w:left="12885" w:hanging="360"/>
      </w:pPr>
      <w:rPr>
        <w:rFonts w:ascii="Symbol" w:hAnsi="Symbol" w:hint="default"/>
      </w:rPr>
    </w:lvl>
    <w:lvl w:ilvl="7" w:tplc="041A0003" w:tentative="1">
      <w:start w:val="1"/>
      <w:numFmt w:val="bullet"/>
      <w:lvlText w:val="o"/>
      <w:lvlJc w:val="left"/>
      <w:pPr>
        <w:ind w:left="13605" w:hanging="360"/>
      </w:pPr>
      <w:rPr>
        <w:rFonts w:ascii="Courier New" w:hAnsi="Courier New" w:cs="Courier New" w:hint="default"/>
      </w:rPr>
    </w:lvl>
    <w:lvl w:ilvl="8" w:tplc="041A0005" w:tentative="1">
      <w:start w:val="1"/>
      <w:numFmt w:val="bullet"/>
      <w:lvlText w:val=""/>
      <w:lvlJc w:val="left"/>
      <w:pPr>
        <w:ind w:left="14325" w:hanging="360"/>
      </w:pPr>
      <w:rPr>
        <w:rFonts w:ascii="Wingdings" w:hAnsi="Wingdings" w:hint="default"/>
      </w:rPr>
    </w:lvl>
  </w:abstractNum>
  <w:abstractNum w:abstractNumId="8" w15:restartNumberingAfterBreak="0">
    <w:nsid w:val="3389406D"/>
    <w:multiLevelType w:val="hybridMultilevel"/>
    <w:tmpl w:val="B6E85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7B35F26"/>
    <w:multiLevelType w:val="hybridMultilevel"/>
    <w:tmpl w:val="9C92F56A"/>
    <w:lvl w:ilvl="0" w:tplc="8F54241A">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49ED50C3"/>
    <w:multiLevelType w:val="hybridMultilevel"/>
    <w:tmpl w:val="4B3A4B98"/>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041A0005">
      <w:start w:val="1"/>
      <w:numFmt w:val="bullet"/>
      <w:lvlText w:val=""/>
      <w:lvlJc w:val="left"/>
      <w:pPr>
        <w:tabs>
          <w:tab w:val="num" w:pos="1440"/>
        </w:tabs>
        <w:ind w:left="1440" w:hanging="360"/>
      </w:pPr>
      <w:rPr>
        <w:rFonts w:ascii="Wingdings" w:hAnsi="Wingdings" w:hint="default"/>
        <w:sz w:val="24"/>
        <w:szCs w:val="24"/>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4EDD3E7C"/>
    <w:multiLevelType w:val="hybridMultilevel"/>
    <w:tmpl w:val="DCA8DAB6"/>
    <w:lvl w:ilvl="0" w:tplc="041A000F">
      <w:start w:val="1"/>
      <w:numFmt w:val="decimal"/>
      <w:lvlText w:val="%1."/>
      <w:lvlJc w:val="left"/>
      <w:pPr>
        <w:ind w:left="1494" w:hanging="360"/>
      </w:p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12" w15:restartNumberingAfterBreak="0">
    <w:nsid w:val="4F6821D1"/>
    <w:multiLevelType w:val="hybridMultilevel"/>
    <w:tmpl w:val="FA763F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6B4778B"/>
    <w:multiLevelType w:val="hybridMultilevel"/>
    <w:tmpl w:val="84DECDF8"/>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3306FC98">
      <w:start w:val="1"/>
      <w:numFmt w:val="bullet"/>
      <w:lvlText w:val=""/>
      <w:lvlJc w:val="left"/>
      <w:pPr>
        <w:tabs>
          <w:tab w:val="num" w:pos="1440"/>
        </w:tabs>
        <w:ind w:left="1440" w:hanging="360"/>
      </w:pPr>
      <w:rPr>
        <w:rFonts w:ascii="Symbol" w:hAnsi="Symbol" w:hint="default"/>
        <w:color w:val="auto"/>
        <w:sz w:val="24"/>
        <w:szCs w:val="24"/>
      </w:rPr>
    </w:lvl>
    <w:lvl w:ilvl="2" w:tplc="27F6711A">
      <w:start w:val="1"/>
      <w:numFmt w:val="decimal"/>
      <w:lvlText w:val="%3."/>
      <w:lvlJc w:val="left"/>
      <w:pPr>
        <w:ind w:left="1495" w:hanging="36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56CC17AB"/>
    <w:multiLevelType w:val="hybridMultilevel"/>
    <w:tmpl w:val="85D6D126"/>
    <w:lvl w:ilvl="0" w:tplc="041A0001">
      <w:start w:val="1"/>
      <w:numFmt w:val="bullet"/>
      <w:lvlText w:val=""/>
      <w:lvlJc w:val="left"/>
      <w:pPr>
        <w:ind w:left="1077" w:hanging="360"/>
      </w:pPr>
      <w:rPr>
        <w:rFonts w:ascii="Symbol" w:hAnsi="Symbol"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15" w15:restartNumberingAfterBreak="0">
    <w:nsid w:val="59C40367"/>
    <w:multiLevelType w:val="hybridMultilevel"/>
    <w:tmpl w:val="A6B27450"/>
    <w:lvl w:ilvl="0" w:tplc="40C8A5A4">
      <w:start w:val="1"/>
      <w:numFmt w:val="upperRoman"/>
      <w:pStyle w:val="Heading7"/>
      <w:lvlText w:val="%1."/>
      <w:lvlJc w:val="left"/>
      <w:pPr>
        <w:tabs>
          <w:tab w:val="num" w:pos="720"/>
        </w:tabs>
        <w:ind w:left="720" w:hanging="720"/>
      </w:pPr>
      <w:rPr>
        <w:rFonts w:hint="default"/>
        <w:sz w:val="24"/>
      </w:rPr>
    </w:lvl>
    <w:lvl w:ilvl="1" w:tplc="FEB299CA">
      <w:start w:val="1"/>
      <w:numFmt w:val="decimal"/>
      <w:lvlText w:val="%2."/>
      <w:lvlJc w:val="left"/>
      <w:pPr>
        <w:tabs>
          <w:tab w:val="num" w:pos="1080"/>
        </w:tabs>
        <w:ind w:left="1080" w:hanging="360"/>
      </w:pPr>
      <w:rPr>
        <w:rFonts w:hint="default"/>
      </w:rPr>
    </w:lvl>
    <w:lvl w:ilvl="2" w:tplc="22382692">
      <w:start w:val="1"/>
      <w:numFmt w:val="bullet"/>
      <w:lvlText w:val="-"/>
      <w:lvlJc w:val="left"/>
      <w:pPr>
        <w:tabs>
          <w:tab w:val="num" w:pos="1980"/>
        </w:tabs>
        <w:ind w:left="1980" w:hanging="360"/>
      </w:pPr>
      <w:rPr>
        <w:rFonts w:ascii="Times New Roman" w:eastAsia="Times New Roman" w:hAnsi="Times New Roman" w:cs="Times New Roman" w:hint="default"/>
      </w:rPr>
    </w:lvl>
    <w:lvl w:ilvl="3" w:tplc="A8E03E44">
      <w:start w:val="1"/>
      <w:numFmt w:val="decimal"/>
      <w:lvlText w:val="%4)"/>
      <w:lvlJc w:val="left"/>
      <w:pPr>
        <w:tabs>
          <w:tab w:val="num" w:pos="2520"/>
        </w:tabs>
        <w:ind w:left="2520" w:hanging="360"/>
      </w:pPr>
      <w:rPr>
        <w:rFonts w:hint="default"/>
      </w:r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6" w15:restartNumberingAfterBreak="0">
    <w:nsid w:val="60BC5511"/>
    <w:multiLevelType w:val="hybridMultilevel"/>
    <w:tmpl w:val="599C512E"/>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720"/>
        </w:tabs>
        <w:ind w:left="720" w:hanging="360"/>
      </w:pPr>
      <w:rPr>
        <w:rFonts w:ascii="Courier New" w:hAnsi="Courier New" w:hint="default"/>
      </w:rPr>
    </w:lvl>
    <w:lvl w:ilvl="2" w:tplc="D5DE36DE">
      <w:start w:val="875"/>
      <w:numFmt w:val="bullet"/>
      <w:lvlText w:val="–"/>
      <w:lvlJc w:val="left"/>
      <w:pPr>
        <w:tabs>
          <w:tab w:val="num" w:pos="1440"/>
        </w:tabs>
        <w:ind w:left="1440" w:hanging="360"/>
      </w:pPr>
      <w:rPr>
        <w:rFonts w:ascii="Arial" w:eastAsia="Times New Roman" w:hAnsi="Arial" w:cs="Arial" w:hint="default"/>
      </w:rPr>
    </w:lvl>
    <w:lvl w:ilvl="3" w:tplc="041A0001" w:tentative="1">
      <w:start w:val="1"/>
      <w:numFmt w:val="bullet"/>
      <w:lvlText w:val=""/>
      <w:lvlJc w:val="left"/>
      <w:pPr>
        <w:tabs>
          <w:tab w:val="num" w:pos="2160"/>
        </w:tabs>
        <w:ind w:left="2160" w:hanging="360"/>
      </w:pPr>
      <w:rPr>
        <w:rFonts w:ascii="Symbol" w:hAnsi="Symbol" w:hint="default"/>
      </w:rPr>
    </w:lvl>
    <w:lvl w:ilvl="4" w:tplc="041A0003" w:tentative="1">
      <w:start w:val="1"/>
      <w:numFmt w:val="bullet"/>
      <w:lvlText w:val="o"/>
      <w:lvlJc w:val="left"/>
      <w:pPr>
        <w:tabs>
          <w:tab w:val="num" w:pos="2880"/>
        </w:tabs>
        <w:ind w:left="2880" w:hanging="360"/>
      </w:pPr>
      <w:rPr>
        <w:rFonts w:ascii="Courier New" w:hAnsi="Courier New" w:hint="default"/>
      </w:rPr>
    </w:lvl>
    <w:lvl w:ilvl="5" w:tplc="041A0005" w:tentative="1">
      <w:start w:val="1"/>
      <w:numFmt w:val="bullet"/>
      <w:lvlText w:val=""/>
      <w:lvlJc w:val="left"/>
      <w:pPr>
        <w:tabs>
          <w:tab w:val="num" w:pos="3600"/>
        </w:tabs>
        <w:ind w:left="3600" w:hanging="360"/>
      </w:pPr>
      <w:rPr>
        <w:rFonts w:ascii="Wingdings" w:hAnsi="Wingdings" w:hint="default"/>
      </w:rPr>
    </w:lvl>
    <w:lvl w:ilvl="6" w:tplc="041A0001" w:tentative="1">
      <w:start w:val="1"/>
      <w:numFmt w:val="bullet"/>
      <w:lvlText w:val=""/>
      <w:lvlJc w:val="left"/>
      <w:pPr>
        <w:tabs>
          <w:tab w:val="num" w:pos="4320"/>
        </w:tabs>
        <w:ind w:left="4320" w:hanging="360"/>
      </w:pPr>
      <w:rPr>
        <w:rFonts w:ascii="Symbol" w:hAnsi="Symbol" w:hint="default"/>
      </w:rPr>
    </w:lvl>
    <w:lvl w:ilvl="7" w:tplc="041A0003" w:tentative="1">
      <w:start w:val="1"/>
      <w:numFmt w:val="bullet"/>
      <w:lvlText w:val="o"/>
      <w:lvlJc w:val="left"/>
      <w:pPr>
        <w:tabs>
          <w:tab w:val="num" w:pos="5040"/>
        </w:tabs>
        <w:ind w:left="5040" w:hanging="360"/>
      </w:pPr>
      <w:rPr>
        <w:rFonts w:ascii="Courier New" w:hAnsi="Courier New" w:hint="default"/>
      </w:rPr>
    </w:lvl>
    <w:lvl w:ilvl="8" w:tplc="041A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689E35CC"/>
    <w:multiLevelType w:val="multilevel"/>
    <w:tmpl w:val="30F447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6"/>
  </w:num>
  <w:num w:numId="4">
    <w:abstractNumId w:val="2"/>
  </w:num>
  <w:num w:numId="5">
    <w:abstractNumId w:val="10"/>
  </w:num>
  <w:num w:numId="6">
    <w:abstractNumId w:val="5"/>
  </w:num>
  <w:num w:numId="7">
    <w:abstractNumId w:val="13"/>
  </w:num>
  <w:num w:numId="8">
    <w:abstractNumId w:val="3"/>
  </w:num>
  <w:num w:numId="9">
    <w:abstractNumId w:val="17"/>
  </w:num>
  <w:num w:numId="10">
    <w:abstractNumId w:val="1"/>
  </w:num>
  <w:num w:numId="11">
    <w:abstractNumId w:val="9"/>
  </w:num>
  <w:num w:numId="12">
    <w:abstractNumId w:val="11"/>
  </w:num>
  <w:num w:numId="13">
    <w:abstractNumId w:val="6"/>
  </w:num>
  <w:num w:numId="14">
    <w:abstractNumId w:val="12"/>
  </w:num>
  <w:num w:numId="15">
    <w:abstractNumId w:val="4"/>
  </w:num>
  <w:num w:numId="16">
    <w:abstractNumId w:val="7"/>
  </w:num>
  <w:num w:numId="17">
    <w:abstractNumId w:val="8"/>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89"/>
    <w:rsid w:val="00001616"/>
    <w:rsid w:val="00001939"/>
    <w:rsid w:val="000030BC"/>
    <w:rsid w:val="00007355"/>
    <w:rsid w:val="00010088"/>
    <w:rsid w:val="00010F45"/>
    <w:rsid w:val="00013AB7"/>
    <w:rsid w:val="000140D2"/>
    <w:rsid w:val="00014C33"/>
    <w:rsid w:val="00014FDF"/>
    <w:rsid w:val="00015A65"/>
    <w:rsid w:val="00016F84"/>
    <w:rsid w:val="00017938"/>
    <w:rsid w:val="000205CD"/>
    <w:rsid w:val="00023295"/>
    <w:rsid w:val="0002536E"/>
    <w:rsid w:val="000268C8"/>
    <w:rsid w:val="0003099B"/>
    <w:rsid w:val="00035F53"/>
    <w:rsid w:val="000415C0"/>
    <w:rsid w:val="00042CBF"/>
    <w:rsid w:val="00044BFE"/>
    <w:rsid w:val="00045340"/>
    <w:rsid w:val="000505FE"/>
    <w:rsid w:val="000514E6"/>
    <w:rsid w:val="000616A6"/>
    <w:rsid w:val="00070096"/>
    <w:rsid w:val="00071A6B"/>
    <w:rsid w:val="000736F6"/>
    <w:rsid w:val="00073957"/>
    <w:rsid w:val="000739E2"/>
    <w:rsid w:val="000739EC"/>
    <w:rsid w:val="00075D1A"/>
    <w:rsid w:val="000821AE"/>
    <w:rsid w:val="00082A32"/>
    <w:rsid w:val="00087254"/>
    <w:rsid w:val="00087289"/>
    <w:rsid w:val="00087306"/>
    <w:rsid w:val="000901BB"/>
    <w:rsid w:val="0009461F"/>
    <w:rsid w:val="000A0B8C"/>
    <w:rsid w:val="000A0E2F"/>
    <w:rsid w:val="000A1C35"/>
    <w:rsid w:val="000A2102"/>
    <w:rsid w:val="000A2417"/>
    <w:rsid w:val="000A32AD"/>
    <w:rsid w:val="000A7EDA"/>
    <w:rsid w:val="000B0168"/>
    <w:rsid w:val="000B01F4"/>
    <w:rsid w:val="000B2FED"/>
    <w:rsid w:val="000B4AE1"/>
    <w:rsid w:val="000B6724"/>
    <w:rsid w:val="000C3592"/>
    <w:rsid w:val="000C4D4F"/>
    <w:rsid w:val="000C6037"/>
    <w:rsid w:val="000C69A1"/>
    <w:rsid w:val="000C6F18"/>
    <w:rsid w:val="000C74B5"/>
    <w:rsid w:val="000D0841"/>
    <w:rsid w:val="000D1062"/>
    <w:rsid w:val="000D56FC"/>
    <w:rsid w:val="000D67A8"/>
    <w:rsid w:val="000E02B2"/>
    <w:rsid w:val="000E0F23"/>
    <w:rsid w:val="000E1120"/>
    <w:rsid w:val="000E4AAF"/>
    <w:rsid w:val="000E6121"/>
    <w:rsid w:val="000E662E"/>
    <w:rsid w:val="000F34DE"/>
    <w:rsid w:val="000F50C8"/>
    <w:rsid w:val="000F5A55"/>
    <w:rsid w:val="000F7428"/>
    <w:rsid w:val="0010084C"/>
    <w:rsid w:val="00101488"/>
    <w:rsid w:val="001021A9"/>
    <w:rsid w:val="00103103"/>
    <w:rsid w:val="001043A7"/>
    <w:rsid w:val="00106826"/>
    <w:rsid w:val="00110CD8"/>
    <w:rsid w:val="0011147A"/>
    <w:rsid w:val="001120B0"/>
    <w:rsid w:val="00113644"/>
    <w:rsid w:val="001139C9"/>
    <w:rsid w:val="00113D03"/>
    <w:rsid w:val="001144C1"/>
    <w:rsid w:val="001146F5"/>
    <w:rsid w:val="0012230E"/>
    <w:rsid w:val="00131096"/>
    <w:rsid w:val="00131256"/>
    <w:rsid w:val="00134A3A"/>
    <w:rsid w:val="00136E5D"/>
    <w:rsid w:val="00145764"/>
    <w:rsid w:val="001459BC"/>
    <w:rsid w:val="00145B39"/>
    <w:rsid w:val="00155C7B"/>
    <w:rsid w:val="001602D3"/>
    <w:rsid w:val="00161605"/>
    <w:rsid w:val="00166AE6"/>
    <w:rsid w:val="00170AB3"/>
    <w:rsid w:val="00171F51"/>
    <w:rsid w:val="001735FB"/>
    <w:rsid w:val="00173642"/>
    <w:rsid w:val="00173DB9"/>
    <w:rsid w:val="00174107"/>
    <w:rsid w:val="00175D0B"/>
    <w:rsid w:val="00180C6F"/>
    <w:rsid w:val="00181490"/>
    <w:rsid w:val="00182F6E"/>
    <w:rsid w:val="00185B60"/>
    <w:rsid w:val="0018621F"/>
    <w:rsid w:val="00190347"/>
    <w:rsid w:val="00197509"/>
    <w:rsid w:val="001A02E2"/>
    <w:rsid w:val="001A0491"/>
    <w:rsid w:val="001A3803"/>
    <w:rsid w:val="001B0801"/>
    <w:rsid w:val="001B473E"/>
    <w:rsid w:val="001B4A3E"/>
    <w:rsid w:val="001B4B19"/>
    <w:rsid w:val="001B6941"/>
    <w:rsid w:val="001B6A43"/>
    <w:rsid w:val="001C7291"/>
    <w:rsid w:val="001C72A6"/>
    <w:rsid w:val="001D0712"/>
    <w:rsid w:val="001D0DC5"/>
    <w:rsid w:val="001D23C5"/>
    <w:rsid w:val="001D4116"/>
    <w:rsid w:val="001D7097"/>
    <w:rsid w:val="001E23F8"/>
    <w:rsid w:val="001E3FE8"/>
    <w:rsid w:val="001E56B1"/>
    <w:rsid w:val="001E5D37"/>
    <w:rsid w:val="001F274A"/>
    <w:rsid w:val="001F6589"/>
    <w:rsid w:val="001F7C67"/>
    <w:rsid w:val="00212FB3"/>
    <w:rsid w:val="0021382B"/>
    <w:rsid w:val="00216668"/>
    <w:rsid w:val="00216766"/>
    <w:rsid w:val="00220494"/>
    <w:rsid w:val="002236EB"/>
    <w:rsid w:val="00223CBA"/>
    <w:rsid w:val="00225FB4"/>
    <w:rsid w:val="00227189"/>
    <w:rsid w:val="00232C18"/>
    <w:rsid w:val="002439BD"/>
    <w:rsid w:val="00243F31"/>
    <w:rsid w:val="002451A3"/>
    <w:rsid w:val="0024638B"/>
    <w:rsid w:val="00253109"/>
    <w:rsid w:val="002544A1"/>
    <w:rsid w:val="00260F9E"/>
    <w:rsid w:val="002644E7"/>
    <w:rsid w:val="0026533E"/>
    <w:rsid w:val="00272425"/>
    <w:rsid w:val="0027392C"/>
    <w:rsid w:val="002749A2"/>
    <w:rsid w:val="002749D9"/>
    <w:rsid w:val="00274FFE"/>
    <w:rsid w:val="00275982"/>
    <w:rsid w:val="002779FD"/>
    <w:rsid w:val="00282679"/>
    <w:rsid w:val="00285BA3"/>
    <w:rsid w:val="0028684C"/>
    <w:rsid w:val="002877D8"/>
    <w:rsid w:val="002913C3"/>
    <w:rsid w:val="00296E40"/>
    <w:rsid w:val="00297272"/>
    <w:rsid w:val="002A1418"/>
    <w:rsid w:val="002A16BF"/>
    <w:rsid w:val="002A31E8"/>
    <w:rsid w:val="002A608D"/>
    <w:rsid w:val="002A7E8F"/>
    <w:rsid w:val="002B08DB"/>
    <w:rsid w:val="002B474F"/>
    <w:rsid w:val="002B5690"/>
    <w:rsid w:val="002B57D2"/>
    <w:rsid w:val="002B7A64"/>
    <w:rsid w:val="002C36CC"/>
    <w:rsid w:val="002C7AEB"/>
    <w:rsid w:val="002D0050"/>
    <w:rsid w:val="002D2464"/>
    <w:rsid w:val="002D3D33"/>
    <w:rsid w:val="002D6817"/>
    <w:rsid w:val="002D78C8"/>
    <w:rsid w:val="002E1F8B"/>
    <w:rsid w:val="002E4B49"/>
    <w:rsid w:val="002E5D8E"/>
    <w:rsid w:val="002E6F93"/>
    <w:rsid w:val="002F504C"/>
    <w:rsid w:val="003005F8"/>
    <w:rsid w:val="003026A7"/>
    <w:rsid w:val="003036CE"/>
    <w:rsid w:val="003134F0"/>
    <w:rsid w:val="00314283"/>
    <w:rsid w:val="0031561A"/>
    <w:rsid w:val="003204B3"/>
    <w:rsid w:val="003307AE"/>
    <w:rsid w:val="00332FB0"/>
    <w:rsid w:val="0033323A"/>
    <w:rsid w:val="00336004"/>
    <w:rsid w:val="003408F0"/>
    <w:rsid w:val="00340EC0"/>
    <w:rsid w:val="00341723"/>
    <w:rsid w:val="00343803"/>
    <w:rsid w:val="0034405B"/>
    <w:rsid w:val="00355147"/>
    <w:rsid w:val="00355BD6"/>
    <w:rsid w:val="00357759"/>
    <w:rsid w:val="00365852"/>
    <w:rsid w:val="003703BC"/>
    <w:rsid w:val="00370511"/>
    <w:rsid w:val="0037113F"/>
    <w:rsid w:val="0037121F"/>
    <w:rsid w:val="00375CB1"/>
    <w:rsid w:val="00387F1F"/>
    <w:rsid w:val="00393DCF"/>
    <w:rsid w:val="0039717F"/>
    <w:rsid w:val="003A68F0"/>
    <w:rsid w:val="003B198E"/>
    <w:rsid w:val="003B3E77"/>
    <w:rsid w:val="003B7FF4"/>
    <w:rsid w:val="003C0FBA"/>
    <w:rsid w:val="003C34FF"/>
    <w:rsid w:val="003C531A"/>
    <w:rsid w:val="003C7709"/>
    <w:rsid w:val="003D07F9"/>
    <w:rsid w:val="003D7DF6"/>
    <w:rsid w:val="003E0646"/>
    <w:rsid w:val="003E2786"/>
    <w:rsid w:val="003E2DC7"/>
    <w:rsid w:val="003E3927"/>
    <w:rsid w:val="003E4601"/>
    <w:rsid w:val="003F080C"/>
    <w:rsid w:val="0040086C"/>
    <w:rsid w:val="0040483C"/>
    <w:rsid w:val="00405B49"/>
    <w:rsid w:val="00406215"/>
    <w:rsid w:val="00407035"/>
    <w:rsid w:val="0040797C"/>
    <w:rsid w:val="00411F08"/>
    <w:rsid w:val="00412EC0"/>
    <w:rsid w:val="004141DF"/>
    <w:rsid w:val="00421307"/>
    <w:rsid w:val="00424BF5"/>
    <w:rsid w:val="00425B2E"/>
    <w:rsid w:val="00427280"/>
    <w:rsid w:val="00427E37"/>
    <w:rsid w:val="0043029C"/>
    <w:rsid w:val="004302B1"/>
    <w:rsid w:val="004321A6"/>
    <w:rsid w:val="004325A1"/>
    <w:rsid w:val="00435195"/>
    <w:rsid w:val="00435C06"/>
    <w:rsid w:val="00437C06"/>
    <w:rsid w:val="00444850"/>
    <w:rsid w:val="004454DC"/>
    <w:rsid w:val="00450D9A"/>
    <w:rsid w:val="00455A09"/>
    <w:rsid w:val="0046001A"/>
    <w:rsid w:val="00460893"/>
    <w:rsid w:val="004610E0"/>
    <w:rsid w:val="00461FA8"/>
    <w:rsid w:val="00461FC8"/>
    <w:rsid w:val="00471668"/>
    <w:rsid w:val="00474372"/>
    <w:rsid w:val="0047790A"/>
    <w:rsid w:val="004801D7"/>
    <w:rsid w:val="00480380"/>
    <w:rsid w:val="00480802"/>
    <w:rsid w:val="004A395F"/>
    <w:rsid w:val="004A5AC3"/>
    <w:rsid w:val="004A6BC2"/>
    <w:rsid w:val="004B242E"/>
    <w:rsid w:val="004B4CBF"/>
    <w:rsid w:val="004B580B"/>
    <w:rsid w:val="004B7164"/>
    <w:rsid w:val="004C1BF0"/>
    <w:rsid w:val="004C3427"/>
    <w:rsid w:val="004D0682"/>
    <w:rsid w:val="004D0A8B"/>
    <w:rsid w:val="004D2AFE"/>
    <w:rsid w:val="004D6843"/>
    <w:rsid w:val="004E6ED4"/>
    <w:rsid w:val="004F2EC7"/>
    <w:rsid w:val="004F3FA2"/>
    <w:rsid w:val="004F4746"/>
    <w:rsid w:val="004F600F"/>
    <w:rsid w:val="004F77D5"/>
    <w:rsid w:val="00503749"/>
    <w:rsid w:val="00505050"/>
    <w:rsid w:val="00505659"/>
    <w:rsid w:val="00505AFF"/>
    <w:rsid w:val="00506A1F"/>
    <w:rsid w:val="00511416"/>
    <w:rsid w:val="00511D27"/>
    <w:rsid w:val="0051235C"/>
    <w:rsid w:val="00513F46"/>
    <w:rsid w:val="00513F62"/>
    <w:rsid w:val="0051495E"/>
    <w:rsid w:val="00517EEA"/>
    <w:rsid w:val="00522A58"/>
    <w:rsid w:val="00524778"/>
    <w:rsid w:val="0052505C"/>
    <w:rsid w:val="0052517B"/>
    <w:rsid w:val="005259DE"/>
    <w:rsid w:val="005318B5"/>
    <w:rsid w:val="00531D11"/>
    <w:rsid w:val="00532990"/>
    <w:rsid w:val="005335DD"/>
    <w:rsid w:val="00546567"/>
    <w:rsid w:val="00546B5D"/>
    <w:rsid w:val="0054726F"/>
    <w:rsid w:val="005522BA"/>
    <w:rsid w:val="00553705"/>
    <w:rsid w:val="00557C0D"/>
    <w:rsid w:val="0056015C"/>
    <w:rsid w:val="005635D4"/>
    <w:rsid w:val="00572B22"/>
    <w:rsid w:val="00573DEE"/>
    <w:rsid w:val="00575CD1"/>
    <w:rsid w:val="00575E5B"/>
    <w:rsid w:val="00577A60"/>
    <w:rsid w:val="005813FF"/>
    <w:rsid w:val="005830D8"/>
    <w:rsid w:val="0058314D"/>
    <w:rsid w:val="005845B9"/>
    <w:rsid w:val="0058631E"/>
    <w:rsid w:val="00586C09"/>
    <w:rsid w:val="00590A06"/>
    <w:rsid w:val="005924E9"/>
    <w:rsid w:val="0059283A"/>
    <w:rsid w:val="00593C09"/>
    <w:rsid w:val="0059421B"/>
    <w:rsid w:val="00596FCF"/>
    <w:rsid w:val="005A2D61"/>
    <w:rsid w:val="005A3DD2"/>
    <w:rsid w:val="005A6810"/>
    <w:rsid w:val="005B3063"/>
    <w:rsid w:val="005B5D30"/>
    <w:rsid w:val="005B6896"/>
    <w:rsid w:val="005B6E6D"/>
    <w:rsid w:val="005B7734"/>
    <w:rsid w:val="005B7B0E"/>
    <w:rsid w:val="005C1AC4"/>
    <w:rsid w:val="005C2BBE"/>
    <w:rsid w:val="005C304C"/>
    <w:rsid w:val="005C3D3B"/>
    <w:rsid w:val="005D1419"/>
    <w:rsid w:val="005D2546"/>
    <w:rsid w:val="005D2CCE"/>
    <w:rsid w:val="005D2D33"/>
    <w:rsid w:val="005D4553"/>
    <w:rsid w:val="005D634B"/>
    <w:rsid w:val="005D67A8"/>
    <w:rsid w:val="005D67D6"/>
    <w:rsid w:val="005E269A"/>
    <w:rsid w:val="005E2C3C"/>
    <w:rsid w:val="005E302C"/>
    <w:rsid w:val="005E3776"/>
    <w:rsid w:val="005E5E3F"/>
    <w:rsid w:val="005F0C59"/>
    <w:rsid w:val="005F1F4F"/>
    <w:rsid w:val="005F2A32"/>
    <w:rsid w:val="005F3E9C"/>
    <w:rsid w:val="005F4937"/>
    <w:rsid w:val="005F5559"/>
    <w:rsid w:val="00600DBE"/>
    <w:rsid w:val="00602304"/>
    <w:rsid w:val="00603E2B"/>
    <w:rsid w:val="00610B26"/>
    <w:rsid w:val="00614AC5"/>
    <w:rsid w:val="00627CF0"/>
    <w:rsid w:val="00627FF9"/>
    <w:rsid w:val="00633EB3"/>
    <w:rsid w:val="00637850"/>
    <w:rsid w:val="00640C26"/>
    <w:rsid w:val="00642DEA"/>
    <w:rsid w:val="00644BA9"/>
    <w:rsid w:val="00645680"/>
    <w:rsid w:val="00645C36"/>
    <w:rsid w:val="0065033B"/>
    <w:rsid w:val="00654DBF"/>
    <w:rsid w:val="00660CE5"/>
    <w:rsid w:val="00662993"/>
    <w:rsid w:val="00664FB3"/>
    <w:rsid w:val="0066521E"/>
    <w:rsid w:val="00667462"/>
    <w:rsid w:val="00670F25"/>
    <w:rsid w:val="00671556"/>
    <w:rsid w:val="006731DE"/>
    <w:rsid w:val="006738C7"/>
    <w:rsid w:val="0067553E"/>
    <w:rsid w:val="00676223"/>
    <w:rsid w:val="0067672E"/>
    <w:rsid w:val="006804D9"/>
    <w:rsid w:val="006835E8"/>
    <w:rsid w:val="0068385F"/>
    <w:rsid w:val="00684FCC"/>
    <w:rsid w:val="006855A0"/>
    <w:rsid w:val="00687BCB"/>
    <w:rsid w:val="00687DB5"/>
    <w:rsid w:val="00687DE8"/>
    <w:rsid w:val="0069096D"/>
    <w:rsid w:val="0069133C"/>
    <w:rsid w:val="00691599"/>
    <w:rsid w:val="00692E8C"/>
    <w:rsid w:val="00694A33"/>
    <w:rsid w:val="006A0407"/>
    <w:rsid w:val="006A6390"/>
    <w:rsid w:val="006A6690"/>
    <w:rsid w:val="006A6DE7"/>
    <w:rsid w:val="006A6F58"/>
    <w:rsid w:val="006B01E1"/>
    <w:rsid w:val="006B268A"/>
    <w:rsid w:val="006B30E8"/>
    <w:rsid w:val="006B4C3B"/>
    <w:rsid w:val="006B7198"/>
    <w:rsid w:val="006C078F"/>
    <w:rsid w:val="006C0812"/>
    <w:rsid w:val="006C2097"/>
    <w:rsid w:val="006C2BE8"/>
    <w:rsid w:val="006D040E"/>
    <w:rsid w:val="006D2489"/>
    <w:rsid w:val="006D4798"/>
    <w:rsid w:val="006D7E41"/>
    <w:rsid w:val="006E4ED6"/>
    <w:rsid w:val="006E646B"/>
    <w:rsid w:val="006F694E"/>
    <w:rsid w:val="00701559"/>
    <w:rsid w:val="00713F43"/>
    <w:rsid w:val="00717A50"/>
    <w:rsid w:val="00717C93"/>
    <w:rsid w:val="007205DF"/>
    <w:rsid w:val="00721487"/>
    <w:rsid w:val="00721561"/>
    <w:rsid w:val="007270AD"/>
    <w:rsid w:val="00737B63"/>
    <w:rsid w:val="00741151"/>
    <w:rsid w:val="00741846"/>
    <w:rsid w:val="00742FE2"/>
    <w:rsid w:val="0074611D"/>
    <w:rsid w:val="007473F7"/>
    <w:rsid w:val="00750667"/>
    <w:rsid w:val="00752099"/>
    <w:rsid w:val="007523BE"/>
    <w:rsid w:val="00754388"/>
    <w:rsid w:val="00754E81"/>
    <w:rsid w:val="00766B9C"/>
    <w:rsid w:val="00767388"/>
    <w:rsid w:val="00777888"/>
    <w:rsid w:val="0078521F"/>
    <w:rsid w:val="007862DF"/>
    <w:rsid w:val="00795483"/>
    <w:rsid w:val="007955EE"/>
    <w:rsid w:val="007955F1"/>
    <w:rsid w:val="0079708D"/>
    <w:rsid w:val="00797438"/>
    <w:rsid w:val="007A3853"/>
    <w:rsid w:val="007A4419"/>
    <w:rsid w:val="007B0999"/>
    <w:rsid w:val="007B15DA"/>
    <w:rsid w:val="007B2330"/>
    <w:rsid w:val="007B50AF"/>
    <w:rsid w:val="007B5134"/>
    <w:rsid w:val="007B70C7"/>
    <w:rsid w:val="007C3736"/>
    <w:rsid w:val="007C570A"/>
    <w:rsid w:val="007C5F7F"/>
    <w:rsid w:val="007C6E0C"/>
    <w:rsid w:val="007D7BE6"/>
    <w:rsid w:val="007E1101"/>
    <w:rsid w:val="007E3761"/>
    <w:rsid w:val="007E5420"/>
    <w:rsid w:val="007F2F80"/>
    <w:rsid w:val="007F61A6"/>
    <w:rsid w:val="007F6576"/>
    <w:rsid w:val="0080095E"/>
    <w:rsid w:val="008015A1"/>
    <w:rsid w:val="0080280B"/>
    <w:rsid w:val="008030B7"/>
    <w:rsid w:val="008073C8"/>
    <w:rsid w:val="00810082"/>
    <w:rsid w:val="00810903"/>
    <w:rsid w:val="00812297"/>
    <w:rsid w:val="0081521C"/>
    <w:rsid w:val="00815B6E"/>
    <w:rsid w:val="00815C95"/>
    <w:rsid w:val="00815E34"/>
    <w:rsid w:val="00816AA7"/>
    <w:rsid w:val="008266BC"/>
    <w:rsid w:val="00830EF0"/>
    <w:rsid w:val="0083130E"/>
    <w:rsid w:val="0083271E"/>
    <w:rsid w:val="00841131"/>
    <w:rsid w:val="008417BD"/>
    <w:rsid w:val="00841F39"/>
    <w:rsid w:val="00842A6B"/>
    <w:rsid w:val="00842AE7"/>
    <w:rsid w:val="00844590"/>
    <w:rsid w:val="00844C81"/>
    <w:rsid w:val="0084788A"/>
    <w:rsid w:val="00851B4A"/>
    <w:rsid w:val="008540B3"/>
    <w:rsid w:val="00856456"/>
    <w:rsid w:val="00861AF2"/>
    <w:rsid w:val="00865629"/>
    <w:rsid w:val="0086615C"/>
    <w:rsid w:val="00870FCA"/>
    <w:rsid w:val="008730FA"/>
    <w:rsid w:val="00874208"/>
    <w:rsid w:val="008752D0"/>
    <w:rsid w:val="00876CBA"/>
    <w:rsid w:val="00880630"/>
    <w:rsid w:val="00882E3C"/>
    <w:rsid w:val="0088323B"/>
    <w:rsid w:val="00883EFE"/>
    <w:rsid w:val="008846CC"/>
    <w:rsid w:val="0088471F"/>
    <w:rsid w:val="008865AA"/>
    <w:rsid w:val="008869BA"/>
    <w:rsid w:val="00890BAA"/>
    <w:rsid w:val="0089118C"/>
    <w:rsid w:val="008915E7"/>
    <w:rsid w:val="00894C1E"/>
    <w:rsid w:val="00895A90"/>
    <w:rsid w:val="00895C19"/>
    <w:rsid w:val="008A35F0"/>
    <w:rsid w:val="008A4626"/>
    <w:rsid w:val="008A687B"/>
    <w:rsid w:val="008A7EE3"/>
    <w:rsid w:val="008B0EFB"/>
    <w:rsid w:val="008B2788"/>
    <w:rsid w:val="008B4443"/>
    <w:rsid w:val="008C100A"/>
    <w:rsid w:val="008C48E4"/>
    <w:rsid w:val="008C4B57"/>
    <w:rsid w:val="008C68E5"/>
    <w:rsid w:val="008C759D"/>
    <w:rsid w:val="008D4B92"/>
    <w:rsid w:val="008D72B8"/>
    <w:rsid w:val="008D76E0"/>
    <w:rsid w:val="008E7F9F"/>
    <w:rsid w:val="008F07B1"/>
    <w:rsid w:val="008F154F"/>
    <w:rsid w:val="008F3E88"/>
    <w:rsid w:val="008F40B1"/>
    <w:rsid w:val="00900252"/>
    <w:rsid w:val="00902B16"/>
    <w:rsid w:val="0091158B"/>
    <w:rsid w:val="0091212B"/>
    <w:rsid w:val="00914862"/>
    <w:rsid w:val="00914AAB"/>
    <w:rsid w:val="00915B69"/>
    <w:rsid w:val="009179CB"/>
    <w:rsid w:val="00920CC6"/>
    <w:rsid w:val="0092500A"/>
    <w:rsid w:val="00925178"/>
    <w:rsid w:val="00927F6A"/>
    <w:rsid w:val="00931431"/>
    <w:rsid w:val="009316E8"/>
    <w:rsid w:val="00932CE7"/>
    <w:rsid w:val="00933296"/>
    <w:rsid w:val="009368C1"/>
    <w:rsid w:val="00936B40"/>
    <w:rsid w:val="00940BFF"/>
    <w:rsid w:val="00942E26"/>
    <w:rsid w:val="009436B4"/>
    <w:rsid w:val="00947FD3"/>
    <w:rsid w:val="00953A3B"/>
    <w:rsid w:val="00957F12"/>
    <w:rsid w:val="009612C1"/>
    <w:rsid w:val="00961CF8"/>
    <w:rsid w:val="00961F57"/>
    <w:rsid w:val="00963584"/>
    <w:rsid w:val="00963BCD"/>
    <w:rsid w:val="00964029"/>
    <w:rsid w:val="00964DB2"/>
    <w:rsid w:val="00965A21"/>
    <w:rsid w:val="00966DDB"/>
    <w:rsid w:val="00966EBE"/>
    <w:rsid w:val="00970CFF"/>
    <w:rsid w:val="00972F95"/>
    <w:rsid w:val="00983CD4"/>
    <w:rsid w:val="00984288"/>
    <w:rsid w:val="00987502"/>
    <w:rsid w:val="00987841"/>
    <w:rsid w:val="0099057C"/>
    <w:rsid w:val="0099628A"/>
    <w:rsid w:val="009A108D"/>
    <w:rsid w:val="009A3A7D"/>
    <w:rsid w:val="009A3C22"/>
    <w:rsid w:val="009A3E69"/>
    <w:rsid w:val="009A69D3"/>
    <w:rsid w:val="009A72B2"/>
    <w:rsid w:val="009B0506"/>
    <w:rsid w:val="009B4DFA"/>
    <w:rsid w:val="009B506F"/>
    <w:rsid w:val="009B5095"/>
    <w:rsid w:val="009C70D8"/>
    <w:rsid w:val="009D1D2B"/>
    <w:rsid w:val="009D1E4F"/>
    <w:rsid w:val="009D1FEC"/>
    <w:rsid w:val="009D601F"/>
    <w:rsid w:val="009E1CA1"/>
    <w:rsid w:val="009E2369"/>
    <w:rsid w:val="009E3414"/>
    <w:rsid w:val="009E5B83"/>
    <w:rsid w:val="009E729F"/>
    <w:rsid w:val="009F0C5A"/>
    <w:rsid w:val="009F2C72"/>
    <w:rsid w:val="009F2CD1"/>
    <w:rsid w:val="009F4C96"/>
    <w:rsid w:val="009F605F"/>
    <w:rsid w:val="00A03BB0"/>
    <w:rsid w:val="00A0673A"/>
    <w:rsid w:val="00A07F6B"/>
    <w:rsid w:val="00A07F75"/>
    <w:rsid w:val="00A10773"/>
    <w:rsid w:val="00A10F8A"/>
    <w:rsid w:val="00A11D78"/>
    <w:rsid w:val="00A11E11"/>
    <w:rsid w:val="00A120AA"/>
    <w:rsid w:val="00A12AA4"/>
    <w:rsid w:val="00A1569F"/>
    <w:rsid w:val="00A163E9"/>
    <w:rsid w:val="00A17B6F"/>
    <w:rsid w:val="00A2318E"/>
    <w:rsid w:val="00A24845"/>
    <w:rsid w:val="00A24F1B"/>
    <w:rsid w:val="00A278A1"/>
    <w:rsid w:val="00A30EDB"/>
    <w:rsid w:val="00A31CA9"/>
    <w:rsid w:val="00A31FBB"/>
    <w:rsid w:val="00A33FC4"/>
    <w:rsid w:val="00A34706"/>
    <w:rsid w:val="00A377CE"/>
    <w:rsid w:val="00A43A9F"/>
    <w:rsid w:val="00A44121"/>
    <w:rsid w:val="00A50C2C"/>
    <w:rsid w:val="00A50E52"/>
    <w:rsid w:val="00A511F0"/>
    <w:rsid w:val="00A519DC"/>
    <w:rsid w:val="00A5729E"/>
    <w:rsid w:val="00A61C27"/>
    <w:rsid w:val="00A63572"/>
    <w:rsid w:val="00A638F8"/>
    <w:rsid w:val="00A65FCE"/>
    <w:rsid w:val="00A67CAA"/>
    <w:rsid w:val="00A723B3"/>
    <w:rsid w:val="00A755CA"/>
    <w:rsid w:val="00A75DA3"/>
    <w:rsid w:val="00A83347"/>
    <w:rsid w:val="00A833D1"/>
    <w:rsid w:val="00A85396"/>
    <w:rsid w:val="00A85F4C"/>
    <w:rsid w:val="00A90E7C"/>
    <w:rsid w:val="00A913E6"/>
    <w:rsid w:val="00AA0D08"/>
    <w:rsid w:val="00AA737A"/>
    <w:rsid w:val="00AB1A79"/>
    <w:rsid w:val="00AB5697"/>
    <w:rsid w:val="00AC0DA3"/>
    <w:rsid w:val="00AC1E27"/>
    <w:rsid w:val="00AC2E26"/>
    <w:rsid w:val="00AD0D05"/>
    <w:rsid w:val="00AD3610"/>
    <w:rsid w:val="00AD5887"/>
    <w:rsid w:val="00AD6E98"/>
    <w:rsid w:val="00AD6ED1"/>
    <w:rsid w:val="00AD7BA3"/>
    <w:rsid w:val="00AD7DB8"/>
    <w:rsid w:val="00AE0909"/>
    <w:rsid w:val="00AE24D5"/>
    <w:rsid w:val="00AE373D"/>
    <w:rsid w:val="00AE5586"/>
    <w:rsid w:val="00AE5E8C"/>
    <w:rsid w:val="00AF0DF8"/>
    <w:rsid w:val="00AF2DE6"/>
    <w:rsid w:val="00AF30D9"/>
    <w:rsid w:val="00AF3F5B"/>
    <w:rsid w:val="00AF44CE"/>
    <w:rsid w:val="00B02752"/>
    <w:rsid w:val="00B027D5"/>
    <w:rsid w:val="00B04B01"/>
    <w:rsid w:val="00B065F1"/>
    <w:rsid w:val="00B105A8"/>
    <w:rsid w:val="00B12A21"/>
    <w:rsid w:val="00B12DB6"/>
    <w:rsid w:val="00B158A0"/>
    <w:rsid w:val="00B20173"/>
    <w:rsid w:val="00B2763E"/>
    <w:rsid w:val="00B27A00"/>
    <w:rsid w:val="00B31DBA"/>
    <w:rsid w:val="00B35551"/>
    <w:rsid w:val="00B36097"/>
    <w:rsid w:val="00B37723"/>
    <w:rsid w:val="00B40364"/>
    <w:rsid w:val="00B4068C"/>
    <w:rsid w:val="00B42DA8"/>
    <w:rsid w:val="00B461D4"/>
    <w:rsid w:val="00B4761E"/>
    <w:rsid w:val="00B50575"/>
    <w:rsid w:val="00B5318E"/>
    <w:rsid w:val="00B53514"/>
    <w:rsid w:val="00B53C7A"/>
    <w:rsid w:val="00B60590"/>
    <w:rsid w:val="00B627C2"/>
    <w:rsid w:val="00B64CB5"/>
    <w:rsid w:val="00B651AA"/>
    <w:rsid w:val="00B712DD"/>
    <w:rsid w:val="00B716AB"/>
    <w:rsid w:val="00B72447"/>
    <w:rsid w:val="00B739D4"/>
    <w:rsid w:val="00B7496C"/>
    <w:rsid w:val="00B77529"/>
    <w:rsid w:val="00B81961"/>
    <w:rsid w:val="00B82F95"/>
    <w:rsid w:val="00B8538C"/>
    <w:rsid w:val="00B93333"/>
    <w:rsid w:val="00B97FD9"/>
    <w:rsid w:val="00BA3D42"/>
    <w:rsid w:val="00BA69EB"/>
    <w:rsid w:val="00BB0B27"/>
    <w:rsid w:val="00BB3DC8"/>
    <w:rsid w:val="00BB6821"/>
    <w:rsid w:val="00BB7868"/>
    <w:rsid w:val="00BB7CB7"/>
    <w:rsid w:val="00BC07C3"/>
    <w:rsid w:val="00BC1CA7"/>
    <w:rsid w:val="00BC4B78"/>
    <w:rsid w:val="00BD2059"/>
    <w:rsid w:val="00BD2906"/>
    <w:rsid w:val="00BD5A00"/>
    <w:rsid w:val="00BE0994"/>
    <w:rsid w:val="00BE1150"/>
    <w:rsid w:val="00BE1C3B"/>
    <w:rsid w:val="00BE24E3"/>
    <w:rsid w:val="00BE7313"/>
    <w:rsid w:val="00BF0B60"/>
    <w:rsid w:val="00BF32DC"/>
    <w:rsid w:val="00BF3696"/>
    <w:rsid w:val="00BF4997"/>
    <w:rsid w:val="00BF54DD"/>
    <w:rsid w:val="00BF5D4C"/>
    <w:rsid w:val="00C00163"/>
    <w:rsid w:val="00C00993"/>
    <w:rsid w:val="00C0424E"/>
    <w:rsid w:val="00C06C63"/>
    <w:rsid w:val="00C07125"/>
    <w:rsid w:val="00C12102"/>
    <w:rsid w:val="00C14BE9"/>
    <w:rsid w:val="00C1543C"/>
    <w:rsid w:val="00C16708"/>
    <w:rsid w:val="00C2008D"/>
    <w:rsid w:val="00C219E4"/>
    <w:rsid w:val="00C21B87"/>
    <w:rsid w:val="00C25560"/>
    <w:rsid w:val="00C269EE"/>
    <w:rsid w:val="00C3246B"/>
    <w:rsid w:val="00C35777"/>
    <w:rsid w:val="00C36930"/>
    <w:rsid w:val="00C37607"/>
    <w:rsid w:val="00C4437F"/>
    <w:rsid w:val="00C44DAB"/>
    <w:rsid w:val="00C610CE"/>
    <w:rsid w:val="00C63451"/>
    <w:rsid w:val="00C64DC4"/>
    <w:rsid w:val="00C67684"/>
    <w:rsid w:val="00C70A27"/>
    <w:rsid w:val="00C7179F"/>
    <w:rsid w:val="00C72356"/>
    <w:rsid w:val="00C7482D"/>
    <w:rsid w:val="00C74C6F"/>
    <w:rsid w:val="00C775AB"/>
    <w:rsid w:val="00C81701"/>
    <w:rsid w:val="00C8644B"/>
    <w:rsid w:val="00C909E5"/>
    <w:rsid w:val="00C94F0E"/>
    <w:rsid w:val="00C95C6D"/>
    <w:rsid w:val="00CA46B7"/>
    <w:rsid w:val="00CA48BE"/>
    <w:rsid w:val="00CA7DE0"/>
    <w:rsid w:val="00CB00C4"/>
    <w:rsid w:val="00CB272E"/>
    <w:rsid w:val="00CB31A9"/>
    <w:rsid w:val="00CB3810"/>
    <w:rsid w:val="00CB3C7E"/>
    <w:rsid w:val="00CB56D9"/>
    <w:rsid w:val="00CC3BEF"/>
    <w:rsid w:val="00CD01D1"/>
    <w:rsid w:val="00CD1616"/>
    <w:rsid w:val="00CD3506"/>
    <w:rsid w:val="00CD4B9B"/>
    <w:rsid w:val="00CD7473"/>
    <w:rsid w:val="00CE3456"/>
    <w:rsid w:val="00CE4FE3"/>
    <w:rsid w:val="00CE6E13"/>
    <w:rsid w:val="00CE70A7"/>
    <w:rsid w:val="00CF1F20"/>
    <w:rsid w:val="00CF21F7"/>
    <w:rsid w:val="00CF2538"/>
    <w:rsid w:val="00CF5BEA"/>
    <w:rsid w:val="00CF7A4A"/>
    <w:rsid w:val="00D0176C"/>
    <w:rsid w:val="00D03DDB"/>
    <w:rsid w:val="00D04C2A"/>
    <w:rsid w:val="00D066FE"/>
    <w:rsid w:val="00D068BA"/>
    <w:rsid w:val="00D06F56"/>
    <w:rsid w:val="00D10805"/>
    <w:rsid w:val="00D10CAC"/>
    <w:rsid w:val="00D30AFC"/>
    <w:rsid w:val="00D33571"/>
    <w:rsid w:val="00D44528"/>
    <w:rsid w:val="00D47254"/>
    <w:rsid w:val="00D50137"/>
    <w:rsid w:val="00D54868"/>
    <w:rsid w:val="00D54B69"/>
    <w:rsid w:val="00D61CE7"/>
    <w:rsid w:val="00D63DBF"/>
    <w:rsid w:val="00D64480"/>
    <w:rsid w:val="00D64ECF"/>
    <w:rsid w:val="00D6522E"/>
    <w:rsid w:val="00D673F9"/>
    <w:rsid w:val="00D730A8"/>
    <w:rsid w:val="00D73C2B"/>
    <w:rsid w:val="00D75E06"/>
    <w:rsid w:val="00D77563"/>
    <w:rsid w:val="00D809E6"/>
    <w:rsid w:val="00D81DCD"/>
    <w:rsid w:val="00D83C5A"/>
    <w:rsid w:val="00D84847"/>
    <w:rsid w:val="00D86977"/>
    <w:rsid w:val="00D94E19"/>
    <w:rsid w:val="00DA17F5"/>
    <w:rsid w:val="00DA1B62"/>
    <w:rsid w:val="00DA3323"/>
    <w:rsid w:val="00DA3B08"/>
    <w:rsid w:val="00DA4484"/>
    <w:rsid w:val="00DA6E63"/>
    <w:rsid w:val="00DA6FF0"/>
    <w:rsid w:val="00DB09CD"/>
    <w:rsid w:val="00DB1004"/>
    <w:rsid w:val="00DB30F3"/>
    <w:rsid w:val="00DB3D68"/>
    <w:rsid w:val="00DB4DBC"/>
    <w:rsid w:val="00DB7D51"/>
    <w:rsid w:val="00DC1B96"/>
    <w:rsid w:val="00DC4D20"/>
    <w:rsid w:val="00DD08B6"/>
    <w:rsid w:val="00DD16BE"/>
    <w:rsid w:val="00DD1A06"/>
    <w:rsid w:val="00DD1AC0"/>
    <w:rsid w:val="00DE1D96"/>
    <w:rsid w:val="00DE2D9D"/>
    <w:rsid w:val="00DE40BC"/>
    <w:rsid w:val="00DE616D"/>
    <w:rsid w:val="00DE6836"/>
    <w:rsid w:val="00DF0E26"/>
    <w:rsid w:val="00E03E1B"/>
    <w:rsid w:val="00E04D8B"/>
    <w:rsid w:val="00E0650E"/>
    <w:rsid w:val="00E06760"/>
    <w:rsid w:val="00E072A2"/>
    <w:rsid w:val="00E07476"/>
    <w:rsid w:val="00E124AC"/>
    <w:rsid w:val="00E14477"/>
    <w:rsid w:val="00E15375"/>
    <w:rsid w:val="00E17B2B"/>
    <w:rsid w:val="00E17E7F"/>
    <w:rsid w:val="00E30AA2"/>
    <w:rsid w:val="00E316FE"/>
    <w:rsid w:val="00E3339E"/>
    <w:rsid w:val="00E366A4"/>
    <w:rsid w:val="00E36918"/>
    <w:rsid w:val="00E4215A"/>
    <w:rsid w:val="00E44A5C"/>
    <w:rsid w:val="00E46429"/>
    <w:rsid w:val="00E53C0A"/>
    <w:rsid w:val="00E5693B"/>
    <w:rsid w:val="00E6219C"/>
    <w:rsid w:val="00E640CA"/>
    <w:rsid w:val="00E66D12"/>
    <w:rsid w:val="00E71B06"/>
    <w:rsid w:val="00E7350C"/>
    <w:rsid w:val="00E74FB5"/>
    <w:rsid w:val="00E80E1C"/>
    <w:rsid w:val="00E83FFD"/>
    <w:rsid w:val="00E859E9"/>
    <w:rsid w:val="00E863DA"/>
    <w:rsid w:val="00E9002E"/>
    <w:rsid w:val="00E9103C"/>
    <w:rsid w:val="00E94134"/>
    <w:rsid w:val="00EA1815"/>
    <w:rsid w:val="00EA3980"/>
    <w:rsid w:val="00EA3D33"/>
    <w:rsid w:val="00EB7E27"/>
    <w:rsid w:val="00EC0896"/>
    <w:rsid w:val="00EC11D1"/>
    <w:rsid w:val="00EC1F8C"/>
    <w:rsid w:val="00EC3121"/>
    <w:rsid w:val="00EC6A89"/>
    <w:rsid w:val="00EC709B"/>
    <w:rsid w:val="00ED0B74"/>
    <w:rsid w:val="00ED0FBE"/>
    <w:rsid w:val="00EE59C9"/>
    <w:rsid w:val="00EE59EE"/>
    <w:rsid w:val="00EF3A17"/>
    <w:rsid w:val="00EF7C7D"/>
    <w:rsid w:val="00F02409"/>
    <w:rsid w:val="00F0580E"/>
    <w:rsid w:val="00F06154"/>
    <w:rsid w:val="00F06631"/>
    <w:rsid w:val="00F11235"/>
    <w:rsid w:val="00F1344E"/>
    <w:rsid w:val="00F15216"/>
    <w:rsid w:val="00F177DD"/>
    <w:rsid w:val="00F2075E"/>
    <w:rsid w:val="00F23CD8"/>
    <w:rsid w:val="00F2682B"/>
    <w:rsid w:val="00F27470"/>
    <w:rsid w:val="00F30843"/>
    <w:rsid w:val="00F319AC"/>
    <w:rsid w:val="00F31B48"/>
    <w:rsid w:val="00F3270C"/>
    <w:rsid w:val="00F3357E"/>
    <w:rsid w:val="00F33DF1"/>
    <w:rsid w:val="00F349AB"/>
    <w:rsid w:val="00F36471"/>
    <w:rsid w:val="00F373B7"/>
    <w:rsid w:val="00F40AC9"/>
    <w:rsid w:val="00F42167"/>
    <w:rsid w:val="00F4377E"/>
    <w:rsid w:val="00F44583"/>
    <w:rsid w:val="00F453F1"/>
    <w:rsid w:val="00F50833"/>
    <w:rsid w:val="00F51F74"/>
    <w:rsid w:val="00F560FC"/>
    <w:rsid w:val="00F56126"/>
    <w:rsid w:val="00F5631E"/>
    <w:rsid w:val="00F628F2"/>
    <w:rsid w:val="00F62E2B"/>
    <w:rsid w:val="00F640E4"/>
    <w:rsid w:val="00F6494E"/>
    <w:rsid w:val="00F677E3"/>
    <w:rsid w:val="00F72C2F"/>
    <w:rsid w:val="00F72F64"/>
    <w:rsid w:val="00F731CA"/>
    <w:rsid w:val="00F75C5C"/>
    <w:rsid w:val="00F77C80"/>
    <w:rsid w:val="00F82682"/>
    <w:rsid w:val="00F84692"/>
    <w:rsid w:val="00F84DFD"/>
    <w:rsid w:val="00F86E9B"/>
    <w:rsid w:val="00F86F2E"/>
    <w:rsid w:val="00F86FF1"/>
    <w:rsid w:val="00F93D01"/>
    <w:rsid w:val="00F947BB"/>
    <w:rsid w:val="00F9738D"/>
    <w:rsid w:val="00FA0EF4"/>
    <w:rsid w:val="00FA255A"/>
    <w:rsid w:val="00FA2DD5"/>
    <w:rsid w:val="00FA578F"/>
    <w:rsid w:val="00FA5BD1"/>
    <w:rsid w:val="00FA7436"/>
    <w:rsid w:val="00FB2F2D"/>
    <w:rsid w:val="00FB385F"/>
    <w:rsid w:val="00FB41F9"/>
    <w:rsid w:val="00FB7277"/>
    <w:rsid w:val="00FC4B6B"/>
    <w:rsid w:val="00FC688A"/>
    <w:rsid w:val="00FC706B"/>
    <w:rsid w:val="00FD14BA"/>
    <w:rsid w:val="00FD1F85"/>
    <w:rsid w:val="00FD428E"/>
    <w:rsid w:val="00FD554C"/>
    <w:rsid w:val="00FD60C0"/>
    <w:rsid w:val="00FD69DA"/>
    <w:rsid w:val="00FE0479"/>
    <w:rsid w:val="00FE0BE9"/>
    <w:rsid w:val="00FE1960"/>
    <w:rsid w:val="00FE2D7D"/>
    <w:rsid w:val="00FE56D2"/>
    <w:rsid w:val="00FE72E4"/>
    <w:rsid w:val="00FF02EA"/>
    <w:rsid w:val="00FF131D"/>
    <w:rsid w:val="00FF3267"/>
    <w:rsid w:val="00FF43BC"/>
    <w:rsid w:val="00FF4EDE"/>
    <w:rsid w:val="00FF6D53"/>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944A2"/>
  <w15:docId w15:val="{02CE87D2-9169-4C65-A377-DAC97BABA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62E"/>
  </w:style>
  <w:style w:type="paragraph" w:styleId="Heading1">
    <w:name w:val="heading 1"/>
    <w:basedOn w:val="Normal"/>
    <w:next w:val="Normal"/>
    <w:link w:val="Heading1Char"/>
    <w:qFormat/>
    <w:rsid w:val="00087289"/>
    <w:pPr>
      <w:keepNext/>
      <w:spacing w:after="0" w:line="240" w:lineRule="auto"/>
      <w:ind w:left="4248"/>
      <w:outlineLvl w:val="0"/>
    </w:pPr>
    <w:rPr>
      <w:rFonts w:ascii="Arial" w:eastAsia="Times New Roman" w:hAnsi="Arial" w:cs="Arial"/>
      <w:b/>
      <w:bCs/>
      <w:sz w:val="24"/>
      <w:szCs w:val="24"/>
      <w:lang w:val="en-US" w:eastAsia="hr-HR"/>
    </w:rPr>
  </w:style>
  <w:style w:type="paragraph" w:styleId="Heading2">
    <w:name w:val="heading 2"/>
    <w:basedOn w:val="Normal"/>
    <w:next w:val="Normal"/>
    <w:link w:val="Heading2Char"/>
    <w:qFormat/>
    <w:rsid w:val="00087289"/>
    <w:pPr>
      <w:keepNext/>
      <w:spacing w:after="0" w:line="240" w:lineRule="auto"/>
      <w:jc w:val="center"/>
      <w:outlineLvl w:val="1"/>
    </w:pPr>
    <w:rPr>
      <w:rFonts w:ascii="Arial" w:eastAsia="Times New Roman" w:hAnsi="Arial" w:cs="Times New Roman"/>
      <w:b/>
      <w:bCs/>
      <w:sz w:val="28"/>
      <w:szCs w:val="24"/>
      <w:lang w:eastAsia="hr-HR"/>
    </w:rPr>
  </w:style>
  <w:style w:type="paragraph" w:styleId="Heading3">
    <w:name w:val="heading 3"/>
    <w:basedOn w:val="Normal"/>
    <w:next w:val="Normal"/>
    <w:link w:val="Heading3Char"/>
    <w:qFormat/>
    <w:rsid w:val="00087289"/>
    <w:pPr>
      <w:keepNext/>
      <w:spacing w:after="0" w:line="240" w:lineRule="auto"/>
      <w:ind w:left="-540"/>
      <w:outlineLvl w:val="2"/>
    </w:pPr>
    <w:rPr>
      <w:rFonts w:ascii="Arial" w:eastAsia="Times New Roman" w:hAnsi="Arial" w:cs="Times New Roman"/>
      <w:b/>
      <w:bCs/>
      <w:sz w:val="28"/>
      <w:szCs w:val="24"/>
      <w:lang w:eastAsia="hr-HR"/>
    </w:rPr>
  </w:style>
  <w:style w:type="paragraph" w:styleId="Heading4">
    <w:name w:val="heading 4"/>
    <w:basedOn w:val="Normal"/>
    <w:next w:val="Normal"/>
    <w:link w:val="Heading4Char"/>
    <w:qFormat/>
    <w:rsid w:val="00087289"/>
    <w:pPr>
      <w:keepNext/>
      <w:spacing w:after="0" w:line="240" w:lineRule="auto"/>
      <w:ind w:left="360"/>
      <w:outlineLvl w:val="3"/>
    </w:pPr>
    <w:rPr>
      <w:rFonts w:ascii="Arial" w:eastAsia="Times New Roman" w:hAnsi="Arial" w:cs="Arial"/>
      <w:b/>
      <w:bCs/>
      <w:sz w:val="24"/>
      <w:szCs w:val="24"/>
      <w:lang w:eastAsia="hr-HR"/>
    </w:rPr>
  </w:style>
  <w:style w:type="paragraph" w:styleId="Heading5">
    <w:name w:val="heading 5"/>
    <w:basedOn w:val="Normal"/>
    <w:next w:val="Normal"/>
    <w:link w:val="Heading5Char"/>
    <w:qFormat/>
    <w:rsid w:val="00087289"/>
    <w:pPr>
      <w:keepNext/>
      <w:numPr>
        <w:numId w:val="4"/>
      </w:numPr>
      <w:spacing w:after="0" w:line="240" w:lineRule="auto"/>
      <w:jc w:val="both"/>
      <w:outlineLvl w:val="4"/>
    </w:pPr>
    <w:rPr>
      <w:rFonts w:ascii="Arial" w:eastAsia="Times New Roman" w:hAnsi="Arial" w:cs="Arial"/>
      <w:b/>
      <w:bCs/>
      <w:sz w:val="28"/>
      <w:szCs w:val="24"/>
      <w:lang w:val="de-DE" w:eastAsia="hr-HR"/>
    </w:rPr>
  </w:style>
  <w:style w:type="paragraph" w:styleId="Heading6">
    <w:name w:val="heading 6"/>
    <w:basedOn w:val="Normal"/>
    <w:next w:val="Normal"/>
    <w:link w:val="Heading6Char"/>
    <w:qFormat/>
    <w:rsid w:val="00087289"/>
    <w:pPr>
      <w:keepNext/>
      <w:spacing w:after="0" w:line="240" w:lineRule="auto"/>
      <w:jc w:val="both"/>
      <w:outlineLvl w:val="5"/>
    </w:pPr>
    <w:rPr>
      <w:rFonts w:ascii="Arial" w:eastAsia="Times New Roman" w:hAnsi="Arial" w:cs="Arial"/>
      <w:b/>
      <w:bCs/>
      <w:sz w:val="24"/>
      <w:szCs w:val="24"/>
      <w:lang w:eastAsia="hr-HR"/>
    </w:rPr>
  </w:style>
  <w:style w:type="paragraph" w:styleId="Heading7">
    <w:name w:val="heading 7"/>
    <w:basedOn w:val="Normal"/>
    <w:next w:val="Normal"/>
    <w:link w:val="Heading7Char"/>
    <w:qFormat/>
    <w:rsid w:val="00087289"/>
    <w:pPr>
      <w:keepNext/>
      <w:numPr>
        <w:numId w:val="2"/>
      </w:numPr>
      <w:spacing w:after="0" w:line="240" w:lineRule="auto"/>
      <w:outlineLvl w:val="6"/>
    </w:pPr>
    <w:rPr>
      <w:rFonts w:ascii="Arial" w:eastAsia="Times New Roman" w:hAnsi="Arial" w:cs="Arial"/>
      <w:b/>
      <w:bCs/>
      <w:sz w:val="28"/>
      <w:szCs w:val="24"/>
      <w:lang w:eastAsia="hr-HR"/>
    </w:rPr>
  </w:style>
  <w:style w:type="paragraph" w:styleId="Heading9">
    <w:name w:val="heading 9"/>
    <w:basedOn w:val="Normal"/>
    <w:next w:val="Normal"/>
    <w:link w:val="Heading9Char"/>
    <w:qFormat/>
    <w:rsid w:val="00087289"/>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bCs/>
      <w:sz w:val="24"/>
      <w:szCs w:val="20"/>
      <w:lang w:val="en-US"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7289"/>
    <w:rPr>
      <w:rFonts w:ascii="Arial" w:eastAsia="Times New Roman" w:hAnsi="Arial" w:cs="Arial"/>
      <w:b/>
      <w:bCs/>
      <w:sz w:val="24"/>
      <w:szCs w:val="24"/>
      <w:lang w:val="en-US" w:eastAsia="hr-HR"/>
    </w:rPr>
  </w:style>
  <w:style w:type="character" w:customStyle="1" w:styleId="Heading2Char">
    <w:name w:val="Heading 2 Char"/>
    <w:basedOn w:val="DefaultParagraphFont"/>
    <w:link w:val="Heading2"/>
    <w:rsid w:val="00087289"/>
    <w:rPr>
      <w:rFonts w:ascii="Arial" w:eastAsia="Times New Roman" w:hAnsi="Arial" w:cs="Times New Roman"/>
      <w:b/>
      <w:bCs/>
      <w:sz w:val="28"/>
      <w:szCs w:val="24"/>
      <w:lang w:eastAsia="hr-HR"/>
    </w:rPr>
  </w:style>
  <w:style w:type="character" w:customStyle="1" w:styleId="Heading3Char">
    <w:name w:val="Heading 3 Char"/>
    <w:basedOn w:val="DefaultParagraphFont"/>
    <w:link w:val="Heading3"/>
    <w:rsid w:val="00087289"/>
    <w:rPr>
      <w:rFonts w:ascii="Arial" w:eastAsia="Times New Roman" w:hAnsi="Arial" w:cs="Times New Roman"/>
      <w:b/>
      <w:bCs/>
      <w:sz w:val="28"/>
      <w:szCs w:val="24"/>
      <w:lang w:eastAsia="hr-HR"/>
    </w:rPr>
  </w:style>
  <w:style w:type="character" w:customStyle="1" w:styleId="Heading4Char">
    <w:name w:val="Heading 4 Char"/>
    <w:basedOn w:val="DefaultParagraphFont"/>
    <w:link w:val="Heading4"/>
    <w:rsid w:val="00087289"/>
    <w:rPr>
      <w:rFonts w:ascii="Arial" w:eastAsia="Times New Roman" w:hAnsi="Arial" w:cs="Arial"/>
      <w:b/>
      <w:bCs/>
      <w:sz w:val="24"/>
      <w:szCs w:val="24"/>
      <w:lang w:eastAsia="hr-HR"/>
    </w:rPr>
  </w:style>
  <w:style w:type="character" w:customStyle="1" w:styleId="Heading5Char">
    <w:name w:val="Heading 5 Char"/>
    <w:basedOn w:val="DefaultParagraphFont"/>
    <w:link w:val="Heading5"/>
    <w:rsid w:val="00087289"/>
    <w:rPr>
      <w:rFonts w:ascii="Arial" w:eastAsia="Times New Roman" w:hAnsi="Arial" w:cs="Arial"/>
      <w:b/>
      <w:bCs/>
      <w:sz w:val="28"/>
      <w:szCs w:val="24"/>
      <w:lang w:val="de-DE" w:eastAsia="hr-HR"/>
    </w:rPr>
  </w:style>
  <w:style w:type="character" w:customStyle="1" w:styleId="Heading6Char">
    <w:name w:val="Heading 6 Char"/>
    <w:basedOn w:val="DefaultParagraphFont"/>
    <w:link w:val="Heading6"/>
    <w:rsid w:val="00087289"/>
    <w:rPr>
      <w:rFonts w:ascii="Arial" w:eastAsia="Times New Roman" w:hAnsi="Arial" w:cs="Arial"/>
      <w:b/>
      <w:bCs/>
      <w:sz w:val="24"/>
      <w:szCs w:val="24"/>
      <w:lang w:eastAsia="hr-HR"/>
    </w:rPr>
  </w:style>
  <w:style w:type="character" w:customStyle="1" w:styleId="Heading7Char">
    <w:name w:val="Heading 7 Char"/>
    <w:basedOn w:val="DefaultParagraphFont"/>
    <w:link w:val="Heading7"/>
    <w:rsid w:val="00087289"/>
    <w:rPr>
      <w:rFonts w:ascii="Arial" w:eastAsia="Times New Roman" w:hAnsi="Arial" w:cs="Arial"/>
      <w:b/>
      <w:bCs/>
      <w:sz w:val="28"/>
      <w:szCs w:val="24"/>
      <w:lang w:eastAsia="hr-HR"/>
    </w:rPr>
  </w:style>
  <w:style w:type="character" w:customStyle="1" w:styleId="Heading9Char">
    <w:name w:val="Heading 9 Char"/>
    <w:basedOn w:val="DefaultParagraphFont"/>
    <w:link w:val="Heading9"/>
    <w:rsid w:val="00087289"/>
    <w:rPr>
      <w:rFonts w:ascii="Times New Roman" w:eastAsia="Times New Roman" w:hAnsi="Times New Roman" w:cs="Times New Roman"/>
      <w:bCs/>
      <w:sz w:val="24"/>
      <w:szCs w:val="20"/>
      <w:lang w:val="en-US" w:eastAsia="hr-HR"/>
    </w:rPr>
  </w:style>
  <w:style w:type="numbering" w:customStyle="1" w:styleId="NoList1">
    <w:name w:val="No List1"/>
    <w:next w:val="NoList"/>
    <w:uiPriority w:val="99"/>
    <w:semiHidden/>
    <w:unhideWhenUsed/>
    <w:rsid w:val="00087289"/>
  </w:style>
  <w:style w:type="paragraph" w:styleId="BodyText">
    <w:name w:val="Body Text"/>
    <w:aliases w:val="  uvlaka 2,uvlaka 2,uvlaka 3, uvlaka 3"/>
    <w:basedOn w:val="Normal"/>
    <w:link w:val="BodyTextChar"/>
    <w:uiPriority w:val="99"/>
    <w:rsid w:val="0008728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hr-HR"/>
    </w:rPr>
  </w:style>
  <w:style w:type="character" w:customStyle="1" w:styleId="BodyTextChar">
    <w:name w:val="Body Text Char"/>
    <w:aliases w:val="  uvlaka 2 Char,uvlaka 2 Char,uvlaka 3 Char, uvlaka 3 Char"/>
    <w:basedOn w:val="DefaultParagraphFont"/>
    <w:link w:val="BodyText"/>
    <w:uiPriority w:val="99"/>
    <w:rsid w:val="00087289"/>
    <w:rPr>
      <w:rFonts w:ascii="Times New Roman" w:eastAsia="Times New Roman" w:hAnsi="Times New Roman" w:cs="Times New Roman"/>
      <w:sz w:val="24"/>
      <w:szCs w:val="20"/>
      <w:lang w:val="en-US" w:eastAsia="hr-HR"/>
    </w:rPr>
  </w:style>
  <w:style w:type="paragraph" w:styleId="BodyText2">
    <w:name w:val="Body Text 2"/>
    <w:basedOn w:val="Normal"/>
    <w:link w:val="BodyText2Char"/>
    <w:rsid w:val="00087289"/>
    <w:pPr>
      <w:spacing w:after="0" w:line="240" w:lineRule="auto"/>
    </w:pPr>
    <w:rPr>
      <w:rFonts w:ascii="Arial" w:eastAsia="Times New Roman" w:hAnsi="Arial" w:cs="Arial"/>
      <w:b/>
      <w:sz w:val="24"/>
      <w:szCs w:val="24"/>
      <w:lang w:eastAsia="hr-HR"/>
    </w:rPr>
  </w:style>
  <w:style w:type="character" w:customStyle="1" w:styleId="BodyText2Char">
    <w:name w:val="Body Text 2 Char"/>
    <w:basedOn w:val="DefaultParagraphFont"/>
    <w:link w:val="BodyText2"/>
    <w:rsid w:val="00087289"/>
    <w:rPr>
      <w:rFonts w:ascii="Arial" w:eastAsia="Times New Roman" w:hAnsi="Arial" w:cs="Arial"/>
      <w:b/>
      <w:sz w:val="24"/>
      <w:szCs w:val="24"/>
      <w:lang w:eastAsia="hr-HR"/>
    </w:rPr>
  </w:style>
  <w:style w:type="paragraph" w:styleId="BodyText3">
    <w:name w:val="Body Text 3"/>
    <w:basedOn w:val="Normal"/>
    <w:link w:val="BodyText3Char"/>
    <w:uiPriority w:val="99"/>
    <w:rsid w:val="00087289"/>
    <w:pPr>
      <w:spacing w:after="0" w:line="240" w:lineRule="auto"/>
      <w:jc w:val="both"/>
    </w:pPr>
    <w:rPr>
      <w:rFonts w:ascii="Arial" w:eastAsia="Times New Roman" w:hAnsi="Arial" w:cs="Times New Roman"/>
      <w:sz w:val="23"/>
      <w:szCs w:val="24"/>
      <w:lang w:val="en-GB" w:eastAsia="hr-HR"/>
    </w:rPr>
  </w:style>
  <w:style w:type="character" w:customStyle="1" w:styleId="BodyText3Char">
    <w:name w:val="Body Text 3 Char"/>
    <w:basedOn w:val="DefaultParagraphFont"/>
    <w:link w:val="BodyText3"/>
    <w:uiPriority w:val="99"/>
    <w:rsid w:val="00087289"/>
    <w:rPr>
      <w:rFonts w:ascii="Arial" w:eastAsia="Times New Roman" w:hAnsi="Arial" w:cs="Times New Roman"/>
      <w:sz w:val="23"/>
      <w:szCs w:val="24"/>
      <w:lang w:val="en-GB" w:eastAsia="hr-HR"/>
    </w:rPr>
  </w:style>
  <w:style w:type="paragraph" w:styleId="Title">
    <w:name w:val="Title"/>
    <w:basedOn w:val="Normal"/>
    <w:link w:val="TitleChar"/>
    <w:qFormat/>
    <w:rsid w:val="00087289"/>
    <w:pPr>
      <w:spacing w:after="0" w:line="240" w:lineRule="auto"/>
      <w:ind w:left="360"/>
      <w:jc w:val="center"/>
    </w:pPr>
    <w:rPr>
      <w:rFonts w:ascii="Arial" w:eastAsia="Times New Roman" w:hAnsi="Arial" w:cs="Times New Roman"/>
      <w:b/>
      <w:bCs/>
      <w:sz w:val="28"/>
      <w:szCs w:val="24"/>
      <w:lang w:val="de-DE" w:eastAsia="hr-HR"/>
    </w:rPr>
  </w:style>
  <w:style w:type="character" w:customStyle="1" w:styleId="TitleChar">
    <w:name w:val="Title Char"/>
    <w:basedOn w:val="DefaultParagraphFont"/>
    <w:link w:val="Title"/>
    <w:rsid w:val="00087289"/>
    <w:rPr>
      <w:rFonts w:ascii="Arial" w:eastAsia="Times New Roman" w:hAnsi="Arial" w:cs="Times New Roman"/>
      <w:b/>
      <w:bCs/>
      <w:sz w:val="28"/>
      <w:szCs w:val="24"/>
      <w:lang w:val="de-DE" w:eastAsia="hr-HR"/>
    </w:rPr>
  </w:style>
  <w:style w:type="paragraph" w:styleId="BodyTextIndent2">
    <w:name w:val="Body Text Indent 2"/>
    <w:aliases w:val="  uvlaka 21"/>
    <w:basedOn w:val="Normal"/>
    <w:link w:val="BodyTextIndent2Char"/>
    <w:rsid w:val="00087289"/>
    <w:pPr>
      <w:spacing w:after="0" w:line="240" w:lineRule="auto"/>
      <w:ind w:left="708"/>
    </w:pPr>
    <w:rPr>
      <w:rFonts w:ascii="Arial" w:eastAsia="Times New Roman" w:hAnsi="Arial" w:cs="Times New Roman"/>
      <w:sz w:val="24"/>
      <w:szCs w:val="24"/>
      <w:lang w:eastAsia="hr-HR"/>
    </w:rPr>
  </w:style>
  <w:style w:type="character" w:customStyle="1" w:styleId="BodyTextIndent2Char">
    <w:name w:val="Body Text Indent 2 Char"/>
    <w:aliases w:val="  uvlaka 21 Char"/>
    <w:basedOn w:val="DefaultParagraphFont"/>
    <w:link w:val="BodyTextIndent2"/>
    <w:rsid w:val="00087289"/>
    <w:rPr>
      <w:rFonts w:ascii="Arial" w:eastAsia="Times New Roman" w:hAnsi="Arial" w:cs="Times New Roman"/>
      <w:sz w:val="24"/>
      <w:szCs w:val="24"/>
      <w:lang w:eastAsia="hr-HR"/>
    </w:rPr>
  </w:style>
  <w:style w:type="paragraph" w:styleId="BodyTextIndent3">
    <w:name w:val="Body Text Indent 3"/>
    <w:aliases w:val=" uvlaka 31,uvlaka 31"/>
    <w:basedOn w:val="Normal"/>
    <w:link w:val="BodyTextIndent3Char"/>
    <w:rsid w:val="00087289"/>
    <w:pPr>
      <w:spacing w:after="0" w:line="240" w:lineRule="auto"/>
      <w:ind w:left="708"/>
      <w:jc w:val="both"/>
    </w:pPr>
    <w:rPr>
      <w:rFonts w:ascii="Arial" w:eastAsia="Times New Roman" w:hAnsi="Arial" w:cs="Times New Roman"/>
      <w:sz w:val="24"/>
      <w:szCs w:val="24"/>
      <w:lang w:eastAsia="hr-HR"/>
    </w:rPr>
  </w:style>
  <w:style w:type="character" w:customStyle="1" w:styleId="BodyTextIndent3Char">
    <w:name w:val="Body Text Indent 3 Char"/>
    <w:aliases w:val=" uvlaka 31 Char,uvlaka 31 Char"/>
    <w:basedOn w:val="DefaultParagraphFont"/>
    <w:link w:val="BodyTextIndent3"/>
    <w:rsid w:val="00087289"/>
    <w:rPr>
      <w:rFonts w:ascii="Arial" w:eastAsia="Times New Roman" w:hAnsi="Arial" w:cs="Times New Roman"/>
      <w:sz w:val="24"/>
      <w:szCs w:val="24"/>
      <w:lang w:eastAsia="hr-HR"/>
    </w:rPr>
  </w:style>
  <w:style w:type="paragraph" w:styleId="BodyTextIndent">
    <w:name w:val="Body Text Indent"/>
    <w:basedOn w:val="Normal"/>
    <w:link w:val="BodyTextIndentChar"/>
    <w:rsid w:val="00087289"/>
    <w:pPr>
      <w:spacing w:after="0" w:line="240" w:lineRule="auto"/>
      <w:ind w:left="360"/>
      <w:jc w:val="both"/>
    </w:pPr>
    <w:rPr>
      <w:rFonts w:ascii="Arial" w:eastAsia="Times New Roman" w:hAnsi="Arial" w:cs="Times New Roman"/>
      <w:sz w:val="24"/>
      <w:szCs w:val="24"/>
      <w:lang w:eastAsia="hr-HR"/>
    </w:rPr>
  </w:style>
  <w:style w:type="character" w:customStyle="1" w:styleId="BodyTextIndentChar">
    <w:name w:val="Body Text Indent Char"/>
    <w:basedOn w:val="DefaultParagraphFont"/>
    <w:link w:val="BodyTextIndent"/>
    <w:rsid w:val="00087289"/>
    <w:rPr>
      <w:rFonts w:ascii="Arial" w:eastAsia="Times New Roman" w:hAnsi="Arial" w:cs="Times New Roman"/>
      <w:sz w:val="24"/>
      <w:szCs w:val="24"/>
      <w:lang w:eastAsia="hr-HR"/>
    </w:rPr>
  </w:style>
  <w:style w:type="paragraph" w:styleId="Subtitle">
    <w:name w:val="Subtitle"/>
    <w:basedOn w:val="Normal"/>
    <w:link w:val="SubtitleChar"/>
    <w:qFormat/>
    <w:rsid w:val="00087289"/>
    <w:pPr>
      <w:spacing w:after="0" w:line="240" w:lineRule="auto"/>
    </w:pPr>
    <w:rPr>
      <w:rFonts w:ascii="Arial" w:eastAsia="Times New Roman" w:hAnsi="Arial" w:cs="Times New Roman"/>
      <w:sz w:val="28"/>
      <w:szCs w:val="24"/>
      <w:lang w:eastAsia="hr-HR"/>
    </w:rPr>
  </w:style>
  <w:style w:type="character" w:customStyle="1" w:styleId="SubtitleChar">
    <w:name w:val="Subtitle Char"/>
    <w:basedOn w:val="DefaultParagraphFont"/>
    <w:link w:val="Subtitle"/>
    <w:rsid w:val="00087289"/>
    <w:rPr>
      <w:rFonts w:ascii="Arial" w:eastAsia="Times New Roman" w:hAnsi="Arial" w:cs="Times New Roman"/>
      <w:sz w:val="28"/>
      <w:szCs w:val="24"/>
      <w:lang w:eastAsia="hr-HR"/>
    </w:rPr>
  </w:style>
  <w:style w:type="paragraph" w:styleId="BlockText">
    <w:name w:val="Block Text"/>
    <w:basedOn w:val="Normal"/>
    <w:rsid w:val="00087289"/>
    <w:pPr>
      <w:spacing w:after="0" w:line="240" w:lineRule="auto"/>
      <w:ind w:left="-540" w:right="203" w:firstLine="540"/>
      <w:jc w:val="both"/>
    </w:pPr>
    <w:rPr>
      <w:rFonts w:ascii="Arial" w:eastAsia="Times New Roman" w:hAnsi="Arial" w:cs="Times New Roman"/>
      <w:sz w:val="24"/>
      <w:szCs w:val="24"/>
      <w:lang w:eastAsia="hr-HR"/>
    </w:rPr>
  </w:style>
  <w:style w:type="paragraph" w:styleId="Header">
    <w:name w:val="header"/>
    <w:basedOn w:val="Normal"/>
    <w:link w:val="HeaderChar"/>
    <w:rsid w:val="00087289"/>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HeaderChar">
    <w:name w:val="Header Char"/>
    <w:basedOn w:val="DefaultParagraphFont"/>
    <w:link w:val="Header"/>
    <w:rsid w:val="00087289"/>
    <w:rPr>
      <w:rFonts w:ascii="Times New Roman" w:eastAsia="Times New Roman" w:hAnsi="Times New Roman" w:cs="Times New Roman"/>
      <w:sz w:val="24"/>
      <w:szCs w:val="24"/>
      <w:lang w:eastAsia="hr-HR"/>
    </w:rPr>
  </w:style>
  <w:style w:type="character" w:styleId="PageNumber">
    <w:name w:val="page number"/>
    <w:basedOn w:val="DefaultParagraphFont"/>
    <w:rsid w:val="00087289"/>
  </w:style>
  <w:style w:type="paragraph" w:styleId="Footer">
    <w:name w:val="footer"/>
    <w:basedOn w:val="Normal"/>
    <w:link w:val="FooterChar"/>
    <w:rsid w:val="00087289"/>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FooterChar">
    <w:name w:val="Footer Char"/>
    <w:basedOn w:val="DefaultParagraphFont"/>
    <w:link w:val="Footer"/>
    <w:rsid w:val="00087289"/>
    <w:rPr>
      <w:rFonts w:ascii="Times New Roman" w:eastAsia="Times New Roman" w:hAnsi="Times New Roman" w:cs="Times New Roman"/>
      <w:sz w:val="24"/>
      <w:szCs w:val="24"/>
      <w:lang w:eastAsia="hr-HR"/>
    </w:rPr>
  </w:style>
  <w:style w:type="paragraph" w:styleId="BalloonText">
    <w:name w:val="Balloon Text"/>
    <w:basedOn w:val="Normal"/>
    <w:link w:val="BalloonTextChar"/>
    <w:semiHidden/>
    <w:rsid w:val="00087289"/>
    <w:pPr>
      <w:spacing w:after="0" w:line="240" w:lineRule="auto"/>
    </w:pPr>
    <w:rPr>
      <w:rFonts w:ascii="Tahoma" w:eastAsia="Times New Roman" w:hAnsi="Tahoma" w:cs="Tahoma"/>
      <w:sz w:val="16"/>
      <w:szCs w:val="16"/>
      <w:lang w:eastAsia="hr-HR"/>
    </w:rPr>
  </w:style>
  <w:style w:type="character" w:customStyle="1" w:styleId="BalloonTextChar">
    <w:name w:val="Balloon Text Char"/>
    <w:basedOn w:val="DefaultParagraphFont"/>
    <w:link w:val="BalloonText"/>
    <w:semiHidden/>
    <w:rsid w:val="00087289"/>
    <w:rPr>
      <w:rFonts w:ascii="Tahoma" w:eastAsia="Times New Roman" w:hAnsi="Tahoma" w:cs="Tahoma"/>
      <w:sz w:val="16"/>
      <w:szCs w:val="16"/>
      <w:lang w:eastAsia="hr-HR"/>
    </w:rPr>
  </w:style>
  <w:style w:type="table" w:styleId="TableGrid">
    <w:name w:val="Table Grid"/>
    <w:basedOn w:val="TableNormal"/>
    <w:rsid w:val="0008728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87289"/>
    <w:pPr>
      <w:spacing w:before="100" w:beforeAutospacing="1" w:after="100" w:afterAutospacing="1" w:line="240" w:lineRule="auto"/>
    </w:pPr>
    <w:rPr>
      <w:rFonts w:ascii="Arial" w:eastAsia="SimSun" w:hAnsi="Arial" w:cs="Arial"/>
      <w:color w:val="000000"/>
      <w:sz w:val="18"/>
      <w:szCs w:val="18"/>
      <w:lang w:eastAsia="zh-CN"/>
    </w:rPr>
  </w:style>
  <w:style w:type="numbering" w:customStyle="1" w:styleId="NoList11">
    <w:name w:val="No List11"/>
    <w:next w:val="NoList"/>
    <w:uiPriority w:val="99"/>
    <w:semiHidden/>
    <w:unhideWhenUsed/>
    <w:rsid w:val="00087289"/>
  </w:style>
  <w:style w:type="paragraph" w:styleId="ListParagraph">
    <w:name w:val="List Paragraph"/>
    <w:basedOn w:val="Normal"/>
    <w:uiPriority w:val="99"/>
    <w:qFormat/>
    <w:rsid w:val="00087289"/>
    <w:pPr>
      <w:spacing w:after="0" w:line="240" w:lineRule="auto"/>
      <w:ind w:left="720"/>
      <w:contextualSpacing/>
    </w:pPr>
    <w:rPr>
      <w:rFonts w:ascii="Times New Roman" w:eastAsia="Times New Roman" w:hAnsi="Times New Roman" w:cs="Times New Roman"/>
      <w:sz w:val="24"/>
      <w:szCs w:val="24"/>
      <w:lang w:eastAsia="hr-HR"/>
    </w:rPr>
  </w:style>
  <w:style w:type="paragraph" w:styleId="CommentText">
    <w:name w:val="annotation text"/>
    <w:basedOn w:val="Normal"/>
    <w:link w:val="CommentTextChar"/>
    <w:uiPriority w:val="99"/>
    <w:semiHidden/>
    <w:unhideWhenUsed/>
    <w:rsid w:val="00427E3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27E37"/>
    <w:rPr>
      <w:rFonts w:ascii="Calibri" w:eastAsia="Calibri" w:hAnsi="Calibri" w:cs="Times New Roman"/>
      <w:sz w:val="20"/>
      <w:szCs w:val="20"/>
    </w:rPr>
  </w:style>
  <w:style w:type="character" w:styleId="CommentReference">
    <w:name w:val="annotation reference"/>
    <w:basedOn w:val="DefaultParagraphFont"/>
    <w:uiPriority w:val="99"/>
    <w:semiHidden/>
    <w:unhideWhenUsed/>
    <w:rsid w:val="00427E37"/>
    <w:rPr>
      <w:sz w:val="16"/>
      <w:szCs w:val="16"/>
    </w:rPr>
  </w:style>
  <w:style w:type="table" w:customStyle="1" w:styleId="TableGrid1">
    <w:name w:val="Table Grid1"/>
    <w:basedOn w:val="TableNormal"/>
    <w:next w:val="TableGrid"/>
    <w:uiPriority w:val="39"/>
    <w:rsid w:val="005E302C"/>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9477">
      <w:bodyDiv w:val="1"/>
      <w:marLeft w:val="0"/>
      <w:marRight w:val="0"/>
      <w:marTop w:val="0"/>
      <w:marBottom w:val="0"/>
      <w:divBdr>
        <w:top w:val="none" w:sz="0" w:space="0" w:color="auto"/>
        <w:left w:val="none" w:sz="0" w:space="0" w:color="auto"/>
        <w:bottom w:val="none" w:sz="0" w:space="0" w:color="auto"/>
        <w:right w:val="none" w:sz="0" w:space="0" w:color="auto"/>
      </w:divBdr>
    </w:div>
    <w:div w:id="19746673">
      <w:bodyDiv w:val="1"/>
      <w:marLeft w:val="0"/>
      <w:marRight w:val="0"/>
      <w:marTop w:val="0"/>
      <w:marBottom w:val="0"/>
      <w:divBdr>
        <w:top w:val="none" w:sz="0" w:space="0" w:color="auto"/>
        <w:left w:val="none" w:sz="0" w:space="0" w:color="auto"/>
        <w:bottom w:val="none" w:sz="0" w:space="0" w:color="auto"/>
        <w:right w:val="none" w:sz="0" w:space="0" w:color="auto"/>
      </w:divBdr>
    </w:div>
    <w:div w:id="39329547">
      <w:bodyDiv w:val="1"/>
      <w:marLeft w:val="0"/>
      <w:marRight w:val="0"/>
      <w:marTop w:val="0"/>
      <w:marBottom w:val="0"/>
      <w:divBdr>
        <w:top w:val="none" w:sz="0" w:space="0" w:color="auto"/>
        <w:left w:val="none" w:sz="0" w:space="0" w:color="auto"/>
        <w:bottom w:val="none" w:sz="0" w:space="0" w:color="auto"/>
        <w:right w:val="none" w:sz="0" w:space="0" w:color="auto"/>
      </w:divBdr>
    </w:div>
    <w:div w:id="57098112">
      <w:bodyDiv w:val="1"/>
      <w:marLeft w:val="0"/>
      <w:marRight w:val="0"/>
      <w:marTop w:val="0"/>
      <w:marBottom w:val="0"/>
      <w:divBdr>
        <w:top w:val="none" w:sz="0" w:space="0" w:color="auto"/>
        <w:left w:val="none" w:sz="0" w:space="0" w:color="auto"/>
        <w:bottom w:val="none" w:sz="0" w:space="0" w:color="auto"/>
        <w:right w:val="none" w:sz="0" w:space="0" w:color="auto"/>
      </w:divBdr>
    </w:div>
    <w:div w:id="74519593">
      <w:bodyDiv w:val="1"/>
      <w:marLeft w:val="0"/>
      <w:marRight w:val="0"/>
      <w:marTop w:val="0"/>
      <w:marBottom w:val="0"/>
      <w:divBdr>
        <w:top w:val="none" w:sz="0" w:space="0" w:color="auto"/>
        <w:left w:val="none" w:sz="0" w:space="0" w:color="auto"/>
        <w:bottom w:val="none" w:sz="0" w:space="0" w:color="auto"/>
        <w:right w:val="none" w:sz="0" w:space="0" w:color="auto"/>
      </w:divBdr>
    </w:div>
    <w:div w:id="96407027">
      <w:bodyDiv w:val="1"/>
      <w:marLeft w:val="0"/>
      <w:marRight w:val="0"/>
      <w:marTop w:val="0"/>
      <w:marBottom w:val="0"/>
      <w:divBdr>
        <w:top w:val="none" w:sz="0" w:space="0" w:color="auto"/>
        <w:left w:val="none" w:sz="0" w:space="0" w:color="auto"/>
        <w:bottom w:val="none" w:sz="0" w:space="0" w:color="auto"/>
        <w:right w:val="none" w:sz="0" w:space="0" w:color="auto"/>
      </w:divBdr>
    </w:div>
    <w:div w:id="117145565">
      <w:bodyDiv w:val="1"/>
      <w:marLeft w:val="0"/>
      <w:marRight w:val="0"/>
      <w:marTop w:val="0"/>
      <w:marBottom w:val="0"/>
      <w:divBdr>
        <w:top w:val="none" w:sz="0" w:space="0" w:color="auto"/>
        <w:left w:val="none" w:sz="0" w:space="0" w:color="auto"/>
        <w:bottom w:val="none" w:sz="0" w:space="0" w:color="auto"/>
        <w:right w:val="none" w:sz="0" w:space="0" w:color="auto"/>
      </w:divBdr>
    </w:div>
    <w:div w:id="139227645">
      <w:bodyDiv w:val="1"/>
      <w:marLeft w:val="0"/>
      <w:marRight w:val="0"/>
      <w:marTop w:val="0"/>
      <w:marBottom w:val="0"/>
      <w:divBdr>
        <w:top w:val="none" w:sz="0" w:space="0" w:color="auto"/>
        <w:left w:val="none" w:sz="0" w:space="0" w:color="auto"/>
        <w:bottom w:val="none" w:sz="0" w:space="0" w:color="auto"/>
        <w:right w:val="none" w:sz="0" w:space="0" w:color="auto"/>
      </w:divBdr>
    </w:div>
    <w:div w:id="147597364">
      <w:bodyDiv w:val="1"/>
      <w:marLeft w:val="0"/>
      <w:marRight w:val="0"/>
      <w:marTop w:val="0"/>
      <w:marBottom w:val="0"/>
      <w:divBdr>
        <w:top w:val="none" w:sz="0" w:space="0" w:color="auto"/>
        <w:left w:val="none" w:sz="0" w:space="0" w:color="auto"/>
        <w:bottom w:val="none" w:sz="0" w:space="0" w:color="auto"/>
        <w:right w:val="none" w:sz="0" w:space="0" w:color="auto"/>
      </w:divBdr>
    </w:div>
    <w:div w:id="182525293">
      <w:bodyDiv w:val="1"/>
      <w:marLeft w:val="0"/>
      <w:marRight w:val="0"/>
      <w:marTop w:val="0"/>
      <w:marBottom w:val="0"/>
      <w:divBdr>
        <w:top w:val="none" w:sz="0" w:space="0" w:color="auto"/>
        <w:left w:val="none" w:sz="0" w:space="0" w:color="auto"/>
        <w:bottom w:val="none" w:sz="0" w:space="0" w:color="auto"/>
        <w:right w:val="none" w:sz="0" w:space="0" w:color="auto"/>
      </w:divBdr>
    </w:div>
    <w:div w:id="223952358">
      <w:bodyDiv w:val="1"/>
      <w:marLeft w:val="0"/>
      <w:marRight w:val="0"/>
      <w:marTop w:val="0"/>
      <w:marBottom w:val="0"/>
      <w:divBdr>
        <w:top w:val="none" w:sz="0" w:space="0" w:color="auto"/>
        <w:left w:val="none" w:sz="0" w:space="0" w:color="auto"/>
        <w:bottom w:val="none" w:sz="0" w:space="0" w:color="auto"/>
        <w:right w:val="none" w:sz="0" w:space="0" w:color="auto"/>
      </w:divBdr>
    </w:div>
    <w:div w:id="262035318">
      <w:bodyDiv w:val="1"/>
      <w:marLeft w:val="0"/>
      <w:marRight w:val="0"/>
      <w:marTop w:val="0"/>
      <w:marBottom w:val="0"/>
      <w:divBdr>
        <w:top w:val="none" w:sz="0" w:space="0" w:color="auto"/>
        <w:left w:val="none" w:sz="0" w:space="0" w:color="auto"/>
        <w:bottom w:val="none" w:sz="0" w:space="0" w:color="auto"/>
        <w:right w:val="none" w:sz="0" w:space="0" w:color="auto"/>
      </w:divBdr>
    </w:div>
    <w:div w:id="286544870">
      <w:bodyDiv w:val="1"/>
      <w:marLeft w:val="0"/>
      <w:marRight w:val="0"/>
      <w:marTop w:val="0"/>
      <w:marBottom w:val="0"/>
      <w:divBdr>
        <w:top w:val="none" w:sz="0" w:space="0" w:color="auto"/>
        <w:left w:val="none" w:sz="0" w:space="0" w:color="auto"/>
        <w:bottom w:val="none" w:sz="0" w:space="0" w:color="auto"/>
        <w:right w:val="none" w:sz="0" w:space="0" w:color="auto"/>
      </w:divBdr>
    </w:div>
    <w:div w:id="290792393">
      <w:bodyDiv w:val="1"/>
      <w:marLeft w:val="0"/>
      <w:marRight w:val="0"/>
      <w:marTop w:val="0"/>
      <w:marBottom w:val="0"/>
      <w:divBdr>
        <w:top w:val="none" w:sz="0" w:space="0" w:color="auto"/>
        <w:left w:val="none" w:sz="0" w:space="0" w:color="auto"/>
        <w:bottom w:val="none" w:sz="0" w:space="0" w:color="auto"/>
        <w:right w:val="none" w:sz="0" w:space="0" w:color="auto"/>
      </w:divBdr>
    </w:div>
    <w:div w:id="311376796">
      <w:bodyDiv w:val="1"/>
      <w:marLeft w:val="0"/>
      <w:marRight w:val="0"/>
      <w:marTop w:val="0"/>
      <w:marBottom w:val="0"/>
      <w:divBdr>
        <w:top w:val="none" w:sz="0" w:space="0" w:color="auto"/>
        <w:left w:val="none" w:sz="0" w:space="0" w:color="auto"/>
        <w:bottom w:val="none" w:sz="0" w:space="0" w:color="auto"/>
        <w:right w:val="none" w:sz="0" w:space="0" w:color="auto"/>
      </w:divBdr>
    </w:div>
    <w:div w:id="339696572">
      <w:bodyDiv w:val="1"/>
      <w:marLeft w:val="0"/>
      <w:marRight w:val="0"/>
      <w:marTop w:val="0"/>
      <w:marBottom w:val="0"/>
      <w:divBdr>
        <w:top w:val="none" w:sz="0" w:space="0" w:color="auto"/>
        <w:left w:val="none" w:sz="0" w:space="0" w:color="auto"/>
        <w:bottom w:val="none" w:sz="0" w:space="0" w:color="auto"/>
        <w:right w:val="none" w:sz="0" w:space="0" w:color="auto"/>
      </w:divBdr>
    </w:div>
    <w:div w:id="342167759">
      <w:bodyDiv w:val="1"/>
      <w:marLeft w:val="0"/>
      <w:marRight w:val="0"/>
      <w:marTop w:val="0"/>
      <w:marBottom w:val="0"/>
      <w:divBdr>
        <w:top w:val="none" w:sz="0" w:space="0" w:color="auto"/>
        <w:left w:val="none" w:sz="0" w:space="0" w:color="auto"/>
        <w:bottom w:val="none" w:sz="0" w:space="0" w:color="auto"/>
        <w:right w:val="none" w:sz="0" w:space="0" w:color="auto"/>
      </w:divBdr>
    </w:div>
    <w:div w:id="360791471">
      <w:bodyDiv w:val="1"/>
      <w:marLeft w:val="0"/>
      <w:marRight w:val="0"/>
      <w:marTop w:val="0"/>
      <w:marBottom w:val="0"/>
      <w:divBdr>
        <w:top w:val="none" w:sz="0" w:space="0" w:color="auto"/>
        <w:left w:val="none" w:sz="0" w:space="0" w:color="auto"/>
        <w:bottom w:val="none" w:sz="0" w:space="0" w:color="auto"/>
        <w:right w:val="none" w:sz="0" w:space="0" w:color="auto"/>
      </w:divBdr>
    </w:div>
    <w:div w:id="375618265">
      <w:bodyDiv w:val="1"/>
      <w:marLeft w:val="0"/>
      <w:marRight w:val="0"/>
      <w:marTop w:val="0"/>
      <w:marBottom w:val="0"/>
      <w:divBdr>
        <w:top w:val="none" w:sz="0" w:space="0" w:color="auto"/>
        <w:left w:val="none" w:sz="0" w:space="0" w:color="auto"/>
        <w:bottom w:val="none" w:sz="0" w:space="0" w:color="auto"/>
        <w:right w:val="none" w:sz="0" w:space="0" w:color="auto"/>
      </w:divBdr>
    </w:div>
    <w:div w:id="382602718">
      <w:bodyDiv w:val="1"/>
      <w:marLeft w:val="0"/>
      <w:marRight w:val="0"/>
      <w:marTop w:val="0"/>
      <w:marBottom w:val="0"/>
      <w:divBdr>
        <w:top w:val="none" w:sz="0" w:space="0" w:color="auto"/>
        <w:left w:val="none" w:sz="0" w:space="0" w:color="auto"/>
        <w:bottom w:val="none" w:sz="0" w:space="0" w:color="auto"/>
        <w:right w:val="none" w:sz="0" w:space="0" w:color="auto"/>
      </w:divBdr>
    </w:div>
    <w:div w:id="447242785">
      <w:bodyDiv w:val="1"/>
      <w:marLeft w:val="0"/>
      <w:marRight w:val="0"/>
      <w:marTop w:val="0"/>
      <w:marBottom w:val="0"/>
      <w:divBdr>
        <w:top w:val="none" w:sz="0" w:space="0" w:color="auto"/>
        <w:left w:val="none" w:sz="0" w:space="0" w:color="auto"/>
        <w:bottom w:val="none" w:sz="0" w:space="0" w:color="auto"/>
        <w:right w:val="none" w:sz="0" w:space="0" w:color="auto"/>
      </w:divBdr>
    </w:div>
    <w:div w:id="553466855">
      <w:bodyDiv w:val="1"/>
      <w:marLeft w:val="0"/>
      <w:marRight w:val="0"/>
      <w:marTop w:val="0"/>
      <w:marBottom w:val="0"/>
      <w:divBdr>
        <w:top w:val="none" w:sz="0" w:space="0" w:color="auto"/>
        <w:left w:val="none" w:sz="0" w:space="0" w:color="auto"/>
        <w:bottom w:val="none" w:sz="0" w:space="0" w:color="auto"/>
        <w:right w:val="none" w:sz="0" w:space="0" w:color="auto"/>
      </w:divBdr>
    </w:div>
    <w:div w:id="558591152">
      <w:bodyDiv w:val="1"/>
      <w:marLeft w:val="0"/>
      <w:marRight w:val="0"/>
      <w:marTop w:val="0"/>
      <w:marBottom w:val="0"/>
      <w:divBdr>
        <w:top w:val="none" w:sz="0" w:space="0" w:color="auto"/>
        <w:left w:val="none" w:sz="0" w:space="0" w:color="auto"/>
        <w:bottom w:val="none" w:sz="0" w:space="0" w:color="auto"/>
        <w:right w:val="none" w:sz="0" w:space="0" w:color="auto"/>
      </w:divBdr>
    </w:div>
    <w:div w:id="608006801">
      <w:bodyDiv w:val="1"/>
      <w:marLeft w:val="0"/>
      <w:marRight w:val="0"/>
      <w:marTop w:val="0"/>
      <w:marBottom w:val="0"/>
      <w:divBdr>
        <w:top w:val="none" w:sz="0" w:space="0" w:color="auto"/>
        <w:left w:val="none" w:sz="0" w:space="0" w:color="auto"/>
        <w:bottom w:val="none" w:sz="0" w:space="0" w:color="auto"/>
        <w:right w:val="none" w:sz="0" w:space="0" w:color="auto"/>
      </w:divBdr>
    </w:div>
    <w:div w:id="627588711">
      <w:bodyDiv w:val="1"/>
      <w:marLeft w:val="0"/>
      <w:marRight w:val="0"/>
      <w:marTop w:val="0"/>
      <w:marBottom w:val="0"/>
      <w:divBdr>
        <w:top w:val="none" w:sz="0" w:space="0" w:color="auto"/>
        <w:left w:val="none" w:sz="0" w:space="0" w:color="auto"/>
        <w:bottom w:val="none" w:sz="0" w:space="0" w:color="auto"/>
        <w:right w:val="none" w:sz="0" w:space="0" w:color="auto"/>
      </w:divBdr>
    </w:div>
    <w:div w:id="639073258">
      <w:bodyDiv w:val="1"/>
      <w:marLeft w:val="0"/>
      <w:marRight w:val="0"/>
      <w:marTop w:val="0"/>
      <w:marBottom w:val="0"/>
      <w:divBdr>
        <w:top w:val="none" w:sz="0" w:space="0" w:color="auto"/>
        <w:left w:val="none" w:sz="0" w:space="0" w:color="auto"/>
        <w:bottom w:val="none" w:sz="0" w:space="0" w:color="auto"/>
        <w:right w:val="none" w:sz="0" w:space="0" w:color="auto"/>
      </w:divBdr>
    </w:div>
    <w:div w:id="643657593">
      <w:bodyDiv w:val="1"/>
      <w:marLeft w:val="0"/>
      <w:marRight w:val="0"/>
      <w:marTop w:val="0"/>
      <w:marBottom w:val="0"/>
      <w:divBdr>
        <w:top w:val="none" w:sz="0" w:space="0" w:color="auto"/>
        <w:left w:val="none" w:sz="0" w:space="0" w:color="auto"/>
        <w:bottom w:val="none" w:sz="0" w:space="0" w:color="auto"/>
        <w:right w:val="none" w:sz="0" w:space="0" w:color="auto"/>
      </w:divBdr>
    </w:div>
    <w:div w:id="648826270">
      <w:bodyDiv w:val="1"/>
      <w:marLeft w:val="0"/>
      <w:marRight w:val="0"/>
      <w:marTop w:val="0"/>
      <w:marBottom w:val="0"/>
      <w:divBdr>
        <w:top w:val="none" w:sz="0" w:space="0" w:color="auto"/>
        <w:left w:val="none" w:sz="0" w:space="0" w:color="auto"/>
        <w:bottom w:val="none" w:sz="0" w:space="0" w:color="auto"/>
        <w:right w:val="none" w:sz="0" w:space="0" w:color="auto"/>
      </w:divBdr>
    </w:div>
    <w:div w:id="664749652">
      <w:bodyDiv w:val="1"/>
      <w:marLeft w:val="0"/>
      <w:marRight w:val="0"/>
      <w:marTop w:val="0"/>
      <w:marBottom w:val="0"/>
      <w:divBdr>
        <w:top w:val="none" w:sz="0" w:space="0" w:color="auto"/>
        <w:left w:val="none" w:sz="0" w:space="0" w:color="auto"/>
        <w:bottom w:val="none" w:sz="0" w:space="0" w:color="auto"/>
        <w:right w:val="none" w:sz="0" w:space="0" w:color="auto"/>
      </w:divBdr>
    </w:div>
    <w:div w:id="723680488">
      <w:bodyDiv w:val="1"/>
      <w:marLeft w:val="0"/>
      <w:marRight w:val="0"/>
      <w:marTop w:val="0"/>
      <w:marBottom w:val="0"/>
      <w:divBdr>
        <w:top w:val="none" w:sz="0" w:space="0" w:color="auto"/>
        <w:left w:val="none" w:sz="0" w:space="0" w:color="auto"/>
        <w:bottom w:val="none" w:sz="0" w:space="0" w:color="auto"/>
        <w:right w:val="none" w:sz="0" w:space="0" w:color="auto"/>
      </w:divBdr>
    </w:div>
    <w:div w:id="770394324">
      <w:bodyDiv w:val="1"/>
      <w:marLeft w:val="0"/>
      <w:marRight w:val="0"/>
      <w:marTop w:val="0"/>
      <w:marBottom w:val="0"/>
      <w:divBdr>
        <w:top w:val="none" w:sz="0" w:space="0" w:color="auto"/>
        <w:left w:val="none" w:sz="0" w:space="0" w:color="auto"/>
        <w:bottom w:val="none" w:sz="0" w:space="0" w:color="auto"/>
        <w:right w:val="none" w:sz="0" w:space="0" w:color="auto"/>
      </w:divBdr>
    </w:div>
    <w:div w:id="780417575">
      <w:bodyDiv w:val="1"/>
      <w:marLeft w:val="0"/>
      <w:marRight w:val="0"/>
      <w:marTop w:val="0"/>
      <w:marBottom w:val="0"/>
      <w:divBdr>
        <w:top w:val="none" w:sz="0" w:space="0" w:color="auto"/>
        <w:left w:val="none" w:sz="0" w:space="0" w:color="auto"/>
        <w:bottom w:val="none" w:sz="0" w:space="0" w:color="auto"/>
        <w:right w:val="none" w:sz="0" w:space="0" w:color="auto"/>
      </w:divBdr>
    </w:div>
    <w:div w:id="784890753">
      <w:bodyDiv w:val="1"/>
      <w:marLeft w:val="0"/>
      <w:marRight w:val="0"/>
      <w:marTop w:val="0"/>
      <w:marBottom w:val="0"/>
      <w:divBdr>
        <w:top w:val="none" w:sz="0" w:space="0" w:color="auto"/>
        <w:left w:val="none" w:sz="0" w:space="0" w:color="auto"/>
        <w:bottom w:val="none" w:sz="0" w:space="0" w:color="auto"/>
        <w:right w:val="none" w:sz="0" w:space="0" w:color="auto"/>
      </w:divBdr>
    </w:div>
    <w:div w:id="813982189">
      <w:bodyDiv w:val="1"/>
      <w:marLeft w:val="0"/>
      <w:marRight w:val="0"/>
      <w:marTop w:val="0"/>
      <w:marBottom w:val="0"/>
      <w:divBdr>
        <w:top w:val="none" w:sz="0" w:space="0" w:color="auto"/>
        <w:left w:val="none" w:sz="0" w:space="0" w:color="auto"/>
        <w:bottom w:val="none" w:sz="0" w:space="0" w:color="auto"/>
        <w:right w:val="none" w:sz="0" w:space="0" w:color="auto"/>
      </w:divBdr>
    </w:div>
    <w:div w:id="872035659">
      <w:bodyDiv w:val="1"/>
      <w:marLeft w:val="0"/>
      <w:marRight w:val="0"/>
      <w:marTop w:val="0"/>
      <w:marBottom w:val="0"/>
      <w:divBdr>
        <w:top w:val="none" w:sz="0" w:space="0" w:color="auto"/>
        <w:left w:val="none" w:sz="0" w:space="0" w:color="auto"/>
        <w:bottom w:val="none" w:sz="0" w:space="0" w:color="auto"/>
        <w:right w:val="none" w:sz="0" w:space="0" w:color="auto"/>
      </w:divBdr>
    </w:div>
    <w:div w:id="885290067">
      <w:bodyDiv w:val="1"/>
      <w:marLeft w:val="0"/>
      <w:marRight w:val="0"/>
      <w:marTop w:val="0"/>
      <w:marBottom w:val="0"/>
      <w:divBdr>
        <w:top w:val="none" w:sz="0" w:space="0" w:color="auto"/>
        <w:left w:val="none" w:sz="0" w:space="0" w:color="auto"/>
        <w:bottom w:val="none" w:sz="0" w:space="0" w:color="auto"/>
        <w:right w:val="none" w:sz="0" w:space="0" w:color="auto"/>
      </w:divBdr>
    </w:div>
    <w:div w:id="890337828">
      <w:bodyDiv w:val="1"/>
      <w:marLeft w:val="0"/>
      <w:marRight w:val="0"/>
      <w:marTop w:val="0"/>
      <w:marBottom w:val="0"/>
      <w:divBdr>
        <w:top w:val="none" w:sz="0" w:space="0" w:color="auto"/>
        <w:left w:val="none" w:sz="0" w:space="0" w:color="auto"/>
        <w:bottom w:val="none" w:sz="0" w:space="0" w:color="auto"/>
        <w:right w:val="none" w:sz="0" w:space="0" w:color="auto"/>
      </w:divBdr>
    </w:div>
    <w:div w:id="897941098">
      <w:bodyDiv w:val="1"/>
      <w:marLeft w:val="0"/>
      <w:marRight w:val="0"/>
      <w:marTop w:val="0"/>
      <w:marBottom w:val="0"/>
      <w:divBdr>
        <w:top w:val="none" w:sz="0" w:space="0" w:color="auto"/>
        <w:left w:val="none" w:sz="0" w:space="0" w:color="auto"/>
        <w:bottom w:val="none" w:sz="0" w:space="0" w:color="auto"/>
        <w:right w:val="none" w:sz="0" w:space="0" w:color="auto"/>
      </w:divBdr>
    </w:div>
    <w:div w:id="904225404">
      <w:bodyDiv w:val="1"/>
      <w:marLeft w:val="0"/>
      <w:marRight w:val="0"/>
      <w:marTop w:val="0"/>
      <w:marBottom w:val="0"/>
      <w:divBdr>
        <w:top w:val="none" w:sz="0" w:space="0" w:color="auto"/>
        <w:left w:val="none" w:sz="0" w:space="0" w:color="auto"/>
        <w:bottom w:val="none" w:sz="0" w:space="0" w:color="auto"/>
        <w:right w:val="none" w:sz="0" w:space="0" w:color="auto"/>
      </w:divBdr>
    </w:div>
    <w:div w:id="925841889">
      <w:bodyDiv w:val="1"/>
      <w:marLeft w:val="0"/>
      <w:marRight w:val="0"/>
      <w:marTop w:val="0"/>
      <w:marBottom w:val="0"/>
      <w:divBdr>
        <w:top w:val="none" w:sz="0" w:space="0" w:color="auto"/>
        <w:left w:val="none" w:sz="0" w:space="0" w:color="auto"/>
        <w:bottom w:val="none" w:sz="0" w:space="0" w:color="auto"/>
        <w:right w:val="none" w:sz="0" w:space="0" w:color="auto"/>
      </w:divBdr>
    </w:div>
    <w:div w:id="952516054">
      <w:bodyDiv w:val="1"/>
      <w:marLeft w:val="0"/>
      <w:marRight w:val="0"/>
      <w:marTop w:val="0"/>
      <w:marBottom w:val="0"/>
      <w:divBdr>
        <w:top w:val="none" w:sz="0" w:space="0" w:color="auto"/>
        <w:left w:val="none" w:sz="0" w:space="0" w:color="auto"/>
        <w:bottom w:val="none" w:sz="0" w:space="0" w:color="auto"/>
        <w:right w:val="none" w:sz="0" w:space="0" w:color="auto"/>
      </w:divBdr>
    </w:div>
    <w:div w:id="966668946">
      <w:bodyDiv w:val="1"/>
      <w:marLeft w:val="0"/>
      <w:marRight w:val="0"/>
      <w:marTop w:val="0"/>
      <w:marBottom w:val="0"/>
      <w:divBdr>
        <w:top w:val="none" w:sz="0" w:space="0" w:color="auto"/>
        <w:left w:val="none" w:sz="0" w:space="0" w:color="auto"/>
        <w:bottom w:val="none" w:sz="0" w:space="0" w:color="auto"/>
        <w:right w:val="none" w:sz="0" w:space="0" w:color="auto"/>
      </w:divBdr>
    </w:div>
    <w:div w:id="1103381370">
      <w:bodyDiv w:val="1"/>
      <w:marLeft w:val="0"/>
      <w:marRight w:val="0"/>
      <w:marTop w:val="0"/>
      <w:marBottom w:val="0"/>
      <w:divBdr>
        <w:top w:val="none" w:sz="0" w:space="0" w:color="auto"/>
        <w:left w:val="none" w:sz="0" w:space="0" w:color="auto"/>
        <w:bottom w:val="none" w:sz="0" w:space="0" w:color="auto"/>
        <w:right w:val="none" w:sz="0" w:space="0" w:color="auto"/>
      </w:divBdr>
    </w:div>
    <w:div w:id="1170101398">
      <w:bodyDiv w:val="1"/>
      <w:marLeft w:val="0"/>
      <w:marRight w:val="0"/>
      <w:marTop w:val="0"/>
      <w:marBottom w:val="0"/>
      <w:divBdr>
        <w:top w:val="none" w:sz="0" w:space="0" w:color="auto"/>
        <w:left w:val="none" w:sz="0" w:space="0" w:color="auto"/>
        <w:bottom w:val="none" w:sz="0" w:space="0" w:color="auto"/>
        <w:right w:val="none" w:sz="0" w:space="0" w:color="auto"/>
      </w:divBdr>
    </w:div>
    <w:div w:id="1181161456">
      <w:bodyDiv w:val="1"/>
      <w:marLeft w:val="0"/>
      <w:marRight w:val="0"/>
      <w:marTop w:val="0"/>
      <w:marBottom w:val="0"/>
      <w:divBdr>
        <w:top w:val="none" w:sz="0" w:space="0" w:color="auto"/>
        <w:left w:val="none" w:sz="0" w:space="0" w:color="auto"/>
        <w:bottom w:val="none" w:sz="0" w:space="0" w:color="auto"/>
        <w:right w:val="none" w:sz="0" w:space="0" w:color="auto"/>
      </w:divBdr>
    </w:div>
    <w:div w:id="1199783941">
      <w:bodyDiv w:val="1"/>
      <w:marLeft w:val="0"/>
      <w:marRight w:val="0"/>
      <w:marTop w:val="0"/>
      <w:marBottom w:val="0"/>
      <w:divBdr>
        <w:top w:val="none" w:sz="0" w:space="0" w:color="auto"/>
        <w:left w:val="none" w:sz="0" w:space="0" w:color="auto"/>
        <w:bottom w:val="none" w:sz="0" w:space="0" w:color="auto"/>
        <w:right w:val="none" w:sz="0" w:space="0" w:color="auto"/>
      </w:divBdr>
    </w:div>
    <w:div w:id="1224103388">
      <w:bodyDiv w:val="1"/>
      <w:marLeft w:val="0"/>
      <w:marRight w:val="0"/>
      <w:marTop w:val="0"/>
      <w:marBottom w:val="0"/>
      <w:divBdr>
        <w:top w:val="none" w:sz="0" w:space="0" w:color="auto"/>
        <w:left w:val="none" w:sz="0" w:space="0" w:color="auto"/>
        <w:bottom w:val="none" w:sz="0" w:space="0" w:color="auto"/>
        <w:right w:val="none" w:sz="0" w:space="0" w:color="auto"/>
      </w:divBdr>
    </w:div>
    <w:div w:id="1235167067">
      <w:bodyDiv w:val="1"/>
      <w:marLeft w:val="0"/>
      <w:marRight w:val="0"/>
      <w:marTop w:val="0"/>
      <w:marBottom w:val="0"/>
      <w:divBdr>
        <w:top w:val="none" w:sz="0" w:space="0" w:color="auto"/>
        <w:left w:val="none" w:sz="0" w:space="0" w:color="auto"/>
        <w:bottom w:val="none" w:sz="0" w:space="0" w:color="auto"/>
        <w:right w:val="none" w:sz="0" w:space="0" w:color="auto"/>
      </w:divBdr>
    </w:div>
    <w:div w:id="1252935240">
      <w:bodyDiv w:val="1"/>
      <w:marLeft w:val="0"/>
      <w:marRight w:val="0"/>
      <w:marTop w:val="0"/>
      <w:marBottom w:val="0"/>
      <w:divBdr>
        <w:top w:val="none" w:sz="0" w:space="0" w:color="auto"/>
        <w:left w:val="none" w:sz="0" w:space="0" w:color="auto"/>
        <w:bottom w:val="none" w:sz="0" w:space="0" w:color="auto"/>
        <w:right w:val="none" w:sz="0" w:space="0" w:color="auto"/>
      </w:divBdr>
    </w:div>
    <w:div w:id="1261328349">
      <w:bodyDiv w:val="1"/>
      <w:marLeft w:val="0"/>
      <w:marRight w:val="0"/>
      <w:marTop w:val="0"/>
      <w:marBottom w:val="0"/>
      <w:divBdr>
        <w:top w:val="none" w:sz="0" w:space="0" w:color="auto"/>
        <w:left w:val="none" w:sz="0" w:space="0" w:color="auto"/>
        <w:bottom w:val="none" w:sz="0" w:space="0" w:color="auto"/>
        <w:right w:val="none" w:sz="0" w:space="0" w:color="auto"/>
      </w:divBdr>
    </w:div>
    <w:div w:id="1267038995">
      <w:bodyDiv w:val="1"/>
      <w:marLeft w:val="0"/>
      <w:marRight w:val="0"/>
      <w:marTop w:val="0"/>
      <w:marBottom w:val="0"/>
      <w:divBdr>
        <w:top w:val="none" w:sz="0" w:space="0" w:color="auto"/>
        <w:left w:val="none" w:sz="0" w:space="0" w:color="auto"/>
        <w:bottom w:val="none" w:sz="0" w:space="0" w:color="auto"/>
        <w:right w:val="none" w:sz="0" w:space="0" w:color="auto"/>
      </w:divBdr>
    </w:div>
    <w:div w:id="1272667102">
      <w:bodyDiv w:val="1"/>
      <w:marLeft w:val="0"/>
      <w:marRight w:val="0"/>
      <w:marTop w:val="0"/>
      <w:marBottom w:val="0"/>
      <w:divBdr>
        <w:top w:val="none" w:sz="0" w:space="0" w:color="auto"/>
        <w:left w:val="none" w:sz="0" w:space="0" w:color="auto"/>
        <w:bottom w:val="none" w:sz="0" w:space="0" w:color="auto"/>
        <w:right w:val="none" w:sz="0" w:space="0" w:color="auto"/>
      </w:divBdr>
    </w:div>
    <w:div w:id="1342052678">
      <w:bodyDiv w:val="1"/>
      <w:marLeft w:val="0"/>
      <w:marRight w:val="0"/>
      <w:marTop w:val="0"/>
      <w:marBottom w:val="0"/>
      <w:divBdr>
        <w:top w:val="none" w:sz="0" w:space="0" w:color="auto"/>
        <w:left w:val="none" w:sz="0" w:space="0" w:color="auto"/>
        <w:bottom w:val="none" w:sz="0" w:space="0" w:color="auto"/>
        <w:right w:val="none" w:sz="0" w:space="0" w:color="auto"/>
      </w:divBdr>
    </w:div>
    <w:div w:id="1414354971">
      <w:bodyDiv w:val="1"/>
      <w:marLeft w:val="0"/>
      <w:marRight w:val="0"/>
      <w:marTop w:val="0"/>
      <w:marBottom w:val="0"/>
      <w:divBdr>
        <w:top w:val="none" w:sz="0" w:space="0" w:color="auto"/>
        <w:left w:val="none" w:sz="0" w:space="0" w:color="auto"/>
        <w:bottom w:val="none" w:sz="0" w:space="0" w:color="auto"/>
        <w:right w:val="none" w:sz="0" w:space="0" w:color="auto"/>
      </w:divBdr>
    </w:div>
    <w:div w:id="1470780541">
      <w:bodyDiv w:val="1"/>
      <w:marLeft w:val="0"/>
      <w:marRight w:val="0"/>
      <w:marTop w:val="0"/>
      <w:marBottom w:val="0"/>
      <w:divBdr>
        <w:top w:val="none" w:sz="0" w:space="0" w:color="auto"/>
        <w:left w:val="none" w:sz="0" w:space="0" w:color="auto"/>
        <w:bottom w:val="none" w:sz="0" w:space="0" w:color="auto"/>
        <w:right w:val="none" w:sz="0" w:space="0" w:color="auto"/>
      </w:divBdr>
    </w:div>
    <w:div w:id="1470781521">
      <w:bodyDiv w:val="1"/>
      <w:marLeft w:val="0"/>
      <w:marRight w:val="0"/>
      <w:marTop w:val="0"/>
      <w:marBottom w:val="0"/>
      <w:divBdr>
        <w:top w:val="none" w:sz="0" w:space="0" w:color="auto"/>
        <w:left w:val="none" w:sz="0" w:space="0" w:color="auto"/>
        <w:bottom w:val="none" w:sz="0" w:space="0" w:color="auto"/>
        <w:right w:val="none" w:sz="0" w:space="0" w:color="auto"/>
      </w:divBdr>
    </w:div>
    <w:div w:id="1505128759">
      <w:bodyDiv w:val="1"/>
      <w:marLeft w:val="0"/>
      <w:marRight w:val="0"/>
      <w:marTop w:val="0"/>
      <w:marBottom w:val="0"/>
      <w:divBdr>
        <w:top w:val="none" w:sz="0" w:space="0" w:color="auto"/>
        <w:left w:val="none" w:sz="0" w:space="0" w:color="auto"/>
        <w:bottom w:val="none" w:sz="0" w:space="0" w:color="auto"/>
        <w:right w:val="none" w:sz="0" w:space="0" w:color="auto"/>
      </w:divBdr>
    </w:div>
    <w:div w:id="1507213097">
      <w:bodyDiv w:val="1"/>
      <w:marLeft w:val="0"/>
      <w:marRight w:val="0"/>
      <w:marTop w:val="0"/>
      <w:marBottom w:val="0"/>
      <w:divBdr>
        <w:top w:val="none" w:sz="0" w:space="0" w:color="auto"/>
        <w:left w:val="none" w:sz="0" w:space="0" w:color="auto"/>
        <w:bottom w:val="none" w:sz="0" w:space="0" w:color="auto"/>
        <w:right w:val="none" w:sz="0" w:space="0" w:color="auto"/>
      </w:divBdr>
    </w:div>
    <w:div w:id="1508442683">
      <w:bodyDiv w:val="1"/>
      <w:marLeft w:val="0"/>
      <w:marRight w:val="0"/>
      <w:marTop w:val="0"/>
      <w:marBottom w:val="0"/>
      <w:divBdr>
        <w:top w:val="none" w:sz="0" w:space="0" w:color="auto"/>
        <w:left w:val="none" w:sz="0" w:space="0" w:color="auto"/>
        <w:bottom w:val="none" w:sz="0" w:space="0" w:color="auto"/>
        <w:right w:val="none" w:sz="0" w:space="0" w:color="auto"/>
      </w:divBdr>
    </w:div>
    <w:div w:id="1526676470">
      <w:bodyDiv w:val="1"/>
      <w:marLeft w:val="0"/>
      <w:marRight w:val="0"/>
      <w:marTop w:val="0"/>
      <w:marBottom w:val="0"/>
      <w:divBdr>
        <w:top w:val="none" w:sz="0" w:space="0" w:color="auto"/>
        <w:left w:val="none" w:sz="0" w:space="0" w:color="auto"/>
        <w:bottom w:val="none" w:sz="0" w:space="0" w:color="auto"/>
        <w:right w:val="none" w:sz="0" w:space="0" w:color="auto"/>
      </w:divBdr>
    </w:div>
    <w:div w:id="1540701150">
      <w:bodyDiv w:val="1"/>
      <w:marLeft w:val="0"/>
      <w:marRight w:val="0"/>
      <w:marTop w:val="0"/>
      <w:marBottom w:val="0"/>
      <w:divBdr>
        <w:top w:val="none" w:sz="0" w:space="0" w:color="auto"/>
        <w:left w:val="none" w:sz="0" w:space="0" w:color="auto"/>
        <w:bottom w:val="none" w:sz="0" w:space="0" w:color="auto"/>
        <w:right w:val="none" w:sz="0" w:space="0" w:color="auto"/>
      </w:divBdr>
    </w:div>
    <w:div w:id="1543711024">
      <w:bodyDiv w:val="1"/>
      <w:marLeft w:val="0"/>
      <w:marRight w:val="0"/>
      <w:marTop w:val="0"/>
      <w:marBottom w:val="0"/>
      <w:divBdr>
        <w:top w:val="none" w:sz="0" w:space="0" w:color="auto"/>
        <w:left w:val="none" w:sz="0" w:space="0" w:color="auto"/>
        <w:bottom w:val="none" w:sz="0" w:space="0" w:color="auto"/>
        <w:right w:val="none" w:sz="0" w:space="0" w:color="auto"/>
      </w:divBdr>
    </w:div>
    <w:div w:id="1592394123">
      <w:bodyDiv w:val="1"/>
      <w:marLeft w:val="0"/>
      <w:marRight w:val="0"/>
      <w:marTop w:val="0"/>
      <w:marBottom w:val="0"/>
      <w:divBdr>
        <w:top w:val="none" w:sz="0" w:space="0" w:color="auto"/>
        <w:left w:val="none" w:sz="0" w:space="0" w:color="auto"/>
        <w:bottom w:val="none" w:sz="0" w:space="0" w:color="auto"/>
        <w:right w:val="none" w:sz="0" w:space="0" w:color="auto"/>
      </w:divBdr>
    </w:div>
    <w:div w:id="1622103754">
      <w:bodyDiv w:val="1"/>
      <w:marLeft w:val="0"/>
      <w:marRight w:val="0"/>
      <w:marTop w:val="0"/>
      <w:marBottom w:val="0"/>
      <w:divBdr>
        <w:top w:val="none" w:sz="0" w:space="0" w:color="auto"/>
        <w:left w:val="none" w:sz="0" w:space="0" w:color="auto"/>
        <w:bottom w:val="none" w:sz="0" w:space="0" w:color="auto"/>
        <w:right w:val="none" w:sz="0" w:space="0" w:color="auto"/>
      </w:divBdr>
    </w:div>
    <w:div w:id="1637761813">
      <w:bodyDiv w:val="1"/>
      <w:marLeft w:val="0"/>
      <w:marRight w:val="0"/>
      <w:marTop w:val="0"/>
      <w:marBottom w:val="0"/>
      <w:divBdr>
        <w:top w:val="none" w:sz="0" w:space="0" w:color="auto"/>
        <w:left w:val="none" w:sz="0" w:space="0" w:color="auto"/>
        <w:bottom w:val="none" w:sz="0" w:space="0" w:color="auto"/>
        <w:right w:val="none" w:sz="0" w:space="0" w:color="auto"/>
      </w:divBdr>
    </w:div>
    <w:div w:id="1659075928">
      <w:bodyDiv w:val="1"/>
      <w:marLeft w:val="0"/>
      <w:marRight w:val="0"/>
      <w:marTop w:val="0"/>
      <w:marBottom w:val="0"/>
      <w:divBdr>
        <w:top w:val="none" w:sz="0" w:space="0" w:color="auto"/>
        <w:left w:val="none" w:sz="0" w:space="0" w:color="auto"/>
        <w:bottom w:val="none" w:sz="0" w:space="0" w:color="auto"/>
        <w:right w:val="none" w:sz="0" w:space="0" w:color="auto"/>
      </w:divBdr>
    </w:div>
    <w:div w:id="1665350534">
      <w:bodyDiv w:val="1"/>
      <w:marLeft w:val="0"/>
      <w:marRight w:val="0"/>
      <w:marTop w:val="0"/>
      <w:marBottom w:val="0"/>
      <w:divBdr>
        <w:top w:val="none" w:sz="0" w:space="0" w:color="auto"/>
        <w:left w:val="none" w:sz="0" w:space="0" w:color="auto"/>
        <w:bottom w:val="none" w:sz="0" w:space="0" w:color="auto"/>
        <w:right w:val="none" w:sz="0" w:space="0" w:color="auto"/>
      </w:divBdr>
    </w:div>
    <w:div w:id="1677415600">
      <w:bodyDiv w:val="1"/>
      <w:marLeft w:val="0"/>
      <w:marRight w:val="0"/>
      <w:marTop w:val="0"/>
      <w:marBottom w:val="0"/>
      <w:divBdr>
        <w:top w:val="none" w:sz="0" w:space="0" w:color="auto"/>
        <w:left w:val="none" w:sz="0" w:space="0" w:color="auto"/>
        <w:bottom w:val="none" w:sz="0" w:space="0" w:color="auto"/>
        <w:right w:val="none" w:sz="0" w:space="0" w:color="auto"/>
      </w:divBdr>
    </w:div>
    <w:div w:id="1751534750">
      <w:bodyDiv w:val="1"/>
      <w:marLeft w:val="0"/>
      <w:marRight w:val="0"/>
      <w:marTop w:val="0"/>
      <w:marBottom w:val="0"/>
      <w:divBdr>
        <w:top w:val="none" w:sz="0" w:space="0" w:color="auto"/>
        <w:left w:val="none" w:sz="0" w:space="0" w:color="auto"/>
        <w:bottom w:val="none" w:sz="0" w:space="0" w:color="auto"/>
        <w:right w:val="none" w:sz="0" w:space="0" w:color="auto"/>
      </w:divBdr>
    </w:div>
    <w:div w:id="1757433092">
      <w:bodyDiv w:val="1"/>
      <w:marLeft w:val="0"/>
      <w:marRight w:val="0"/>
      <w:marTop w:val="0"/>
      <w:marBottom w:val="0"/>
      <w:divBdr>
        <w:top w:val="none" w:sz="0" w:space="0" w:color="auto"/>
        <w:left w:val="none" w:sz="0" w:space="0" w:color="auto"/>
        <w:bottom w:val="none" w:sz="0" w:space="0" w:color="auto"/>
        <w:right w:val="none" w:sz="0" w:space="0" w:color="auto"/>
      </w:divBdr>
    </w:div>
    <w:div w:id="1764492353">
      <w:bodyDiv w:val="1"/>
      <w:marLeft w:val="0"/>
      <w:marRight w:val="0"/>
      <w:marTop w:val="0"/>
      <w:marBottom w:val="0"/>
      <w:divBdr>
        <w:top w:val="none" w:sz="0" w:space="0" w:color="auto"/>
        <w:left w:val="none" w:sz="0" w:space="0" w:color="auto"/>
        <w:bottom w:val="none" w:sz="0" w:space="0" w:color="auto"/>
        <w:right w:val="none" w:sz="0" w:space="0" w:color="auto"/>
      </w:divBdr>
    </w:div>
    <w:div w:id="1780447679">
      <w:bodyDiv w:val="1"/>
      <w:marLeft w:val="0"/>
      <w:marRight w:val="0"/>
      <w:marTop w:val="0"/>
      <w:marBottom w:val="0"/>
      <w:divBdr>
        <w:top w:val="none" w:sz="0" w:space="0" w:color="auto"/>
        <w:left w:val="none" w:sz="0" w:space="0" w:color="auto"/>
        <w:bottom w:val="none" w:sz="0" w:space="0" w:color="auto"/>
        <w:right w:val="none" w:sz="0" w:space="0" w:color="auto"/>
      </w:divBdr>
    </w:div>
    <w:div w:id="1799370999">
      <w:bodyDiv w:val="1"/>
      <w:marLeft w:val="0"/>
      <w:marRight w:val="0"/>
      <w:marTop w:val="0"/>
      <w:marBottom w:val="0"/>
      <w:divBdr>
        <w:top w:val="none" w:sz="0" w:space="0" w:color="auto"/>
        <w:left w:val="none" w:sz="0" w:space="0" w:color="auto"/>
        <w:bottom w:val="none" w:sz="0" w:space="0" w:color="auto"/>
        <w:right w:val="none" w:sz="0" w:space="0" w:color="auto"/>
      </w:divBdr>
    </w:div>
    <w:div w:id="1848203925">
      <w:bodyDiv w:val="1"/>
      <w:marLeft w:val="0"/>
      <w:marRight w:val="0"/>
      <w:marTop w:val="0"/>
      <w:marBottom w:val="0"/>
      <w:divBdr>
        <w:top w:val="none" w:sz="0" w:space="0" w:color="auto"/>
        <w:left w:val="none" w:sz="0" w:space="0" w:color="auto"/>
        <w:bottom w:val="none" w:sz="0" w:space="0" w:color="auto"/>
        <w:right w:val="none" w:sz="0" w:space="0" w:color="auto"/>
      </w:divBdr>
    </w:div>
    <w:div w:id="1850678650">
      <w:bodyDiv w:val="1"/>
      <w:marLeft w:val="0"/>
      <w:marRight w:val="0"/>
      <w:marTop w:val="0"/>
      <w:marBottom w:val="0"/>
      <w:divBdr>
        <w:top w:val="none" w:sz="0" w:space="0" w:color="auto"/>
        <w:left w:val="none" w:sz="0" w:space="0" w:color="auto"/>
        <w:bottom w:val="none" w:sz="0" w:space="0" w:color="auto"/>
        <w:right w:val="none" w:sz="0" w:space="0" w:color="auto"/>
      </w:divBdr>
    </w:div>
    <w:div w:id="1899437074">
      <w:bodyDiv w:val="1"/>
      <w:marLeft w:val="0"/>
      <w:marRight w:val="0"/>
      <w:marTop w:val="0"/>
      <w:marBottom w:val="0"/>
      <w:divBdr>
        <w:top w:val="none" w:sz="0" w:space="0" w:color="auto"/>
        <w:left w:val="none" w:sz="0" w:space="0" w:color="auto"/>
        <w:bottom w:val="none" w:sz="0" w:space="0" w:color="auto"/>
        <w:right w:val="none" w:sz="0" w:space="0" w:color="auto"/>
      </w:divBdr>
    </w:div>
    <w:div w:id="2094352512">
      <w:bodyDiv w:val="1"/>
      <w:marLeft w:val="0"/>
      <w:marRight w:val="0"/>
      <w:marTop w:val="0"/>
      <w:marBottom w:val="0"/>
      <w:divBdr>
        <w:top w:val="none" w:sz="0" w:space="0" w:color="auto"/>
        <w:left w:val="none" w:sz="0" w:space="0" w:color="auto"/>
        <w:bottom w:val="none" w:sz="0" w:space="0" w:color="auto"/>
        <w:right w:val="none" w:sz="0" w:space="0" w:color="auto"/>
      </w:divBdr>
    </w:div>
    <w:div w:id="2100635679">
      <w:bodyDiv w:val="1"/>
      <w:marLeft w:val="0"/>
      <w:marRight w:val="0"/>
      <w:marTop w:val="0"/>
      <w:marBottom w:val="0"/>
      <w:divBdr>
        <w:top w:val="none" w:sz="0" w:space="0" w:color="auto"/>
        <w:left w:val="none" w:sz="0" w:space="0" w:color="auto"/>
        <w:bottom w:val="none" w:sz="0" w:space="0" w:color="auto"/>
        <w:right w:val="none" w:sz="0" w:space="0" w:color="auto"/>
      </w:divBdr>
    </w:div>
    <w:div w:id="2101368984">
      <w:bodyDiv w:val="1"/>
      <w:marLeft w:val="0"/>
      <w:marRight w:val="0"/>
      <w:marTop w:val="0"/>
      <w:marBottom w:val="0"/>
      <w:divBdr>
        <w:top w:val="none" w:sz="0" w:space="0" w:color="auto"/>
        <w:left w:val="none" w:sz="0" w:space="0" w:color="auto"/>
        <w:bottom w:val="none" w:sz="0" w:space="0" w:color="auto"/>
        <w:right w:val="none" w:sz="0" w:space="0" w:color="auto"/>
      </w:divBdr>
    </w:div>
    <w:div w:id="2109501372">
      <w:bodyDiv w:val="1"/>
      <w:marLeft w:val="0"/>
      <w:marRight w:val="0"/>
      <w:marTop w:val="0"/>
      <w:marBottom w:val="0"/>
      <w:divBdr>
        <w:top w:val="none" w:sz="0" w:space="0" w:color="auto"/>
        <w:left w:val="none" w:sz="0" w:space="0" w:color="auto"/>
        <w:bottom w:val="none" w:sz="0" w:space="0" w:color="auto"/>
        <w:right w:val="none" w:sz="0" w:space="0" w:color="auto"/>
      </w:divBdr>
    </w:div>
    <w:div w:id="2127578425">
      <w:bodyDiv w:val="1"/>
      <w:marLeft w:val="0"/>
      <w:marRight w:val="0"/>
      <w:marTop w:val="0"/>
      <w:marBottom w:val="0"/>
      <w:divBdr>
        <w:top w:val="none" w:sz="0" w:space="0" w:color="auto"/>
        <w:left w:val="none" w:sz="0" w:space="0" w:color="auto"/>
        <w:bottom w:val="none" w:sz="0" w:space="0" w:color="auto"/>
        <w:right w:val="none" w:sz="0" w:space="0" w:color="auto"/>
      </w:divBdr>
    </w:div>
    <w:div w:id="214396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E9168-15B7-455A-BD54-B537AD52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23</Pages>
  <Words>7798</Words>
  <Characters>44452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Primorsko goranska županija</Company>
  <LinksUpToDate>false</LinksUpToDate>
  <CharactersWithSpaces>52146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Krešimir Parat</dc:creator>
  <cp:lastModifiedBy>Edi Licul</cp:lastModifiedBy>
  <cp:revision>38</cp:revision>
  <cp:lastPrinted>2024-09-03T13:37:00Z</cp:lastPrinted>
  <dcterms:created xsi:type="dcterms:W3CDTF">2023-09-01T12:29:00Z</dcterms:created>
  <dcterms:modified xsi:type="dcterms:W3CDTF">2024-09-04T08:12:00Z</dcterms:modified>
</cp:coreProperties>
</file>